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2.png" ContentType="image/png"/>
  <Override PartName="/word/media/image1.wmf" ContentType="image/x-wmf"/>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right" w:pos="9216" w:leader="none"/>
        </w:tabs>
        <w:jc w:val="both"/>
        <w:rPr/>
      </w:pPr>
      <w:r>
        <mc:AlternateContent>
          <mc:Choice Requires="wps">
            <w:drawing>
              <wp:anchor behindDoc="0" distT="0" distB="0" distL="114300" distR="114300" simplePos="0" locked="0" layoutInCell="1" allowOverlap="1" relativeHeight="2" wp14:anchorId="32D1B9A7">
                <wp:simplePos x="0" y="0"/>
                <wp:positionH relativeFrom="column">
                  <wp:posOffset>0</wp:posOffset>
                </wp:positionH>
                <wp:positionV relativeFrom="paragraph">
                  <wp:posOffset>635</wp:posOffset>
                </wp:positionV>
                <wp:extent cx="3175" cy="3175"/>
                <wp:effectExtent l="0" t="0" r="0" b="0"/>
                <wp:wrapNone/>
                <wp:docPr id="1"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2520" cy="252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w:r>
      <w:r>
        <w:rPr>
          <w:b/>
          <w:bCs/>
          <w:lang w:eastAsia="zh-CN"/>
        </w:rPr>
        <w:t>3GPP TSG RAN WG1 Meeting #106b-e</w:t>
      </w:r>
      <w:r>
        <w:rPr>
          <w:b/>
          <w:kern w:val="2"/>
          <w:lang w:eastAsia="zh-CN"/>
        </w:rPr>
        <w:tab/>
      </w:r>
      <w:bookmarkStart w:id="0" w:name="lblTDocNumber"/>
      <w:bookmarkEnd w:id="0"/>
      <w:r>
        <w:rPr>
          <w:rFonts w:eastAsia="Batang" w:cs="Times New Roman"/>
          <w:b/>
          <w:bCs/>
          <w:color w:val="808080"/>
          <w:kern w:val="2"/>
          <w:sz w:val="26"/>
          <w:szCs w:val="24"/>
          <w:lang w:val="en-GB" w:eastAsia="zh-CN"/>
        </w:rPr>
        <w:t>R1-2110343</w:t>
      </w:r>
      <w:r>
        <w:rPr>
          <w:rFonts w:cs="Arial" w:ascii="Arial" w:hAnsi="Arial"/>
          <w:b/>
          <w:bCs/>
          <w:color w:val="808080"/>
          <w:kern w:val="2"/>
          <w:sz w:val="26"/>
          <w:szCs w:val="26"/>
          <w:lang w:eastAsia="zh-CN"/>
        </w:rPr>
        <w:t xml:space="preserve"> </w:t>
      </w:r>
      <w:bookmarkStart w:id="1" w:name="_Hlk68630309"/>
      <w:bookmarkEnd w:id="1"/>
    </w:p>
    <w:p>
      <w:pPr>
        <w:pStyle w:val="Normal"/>
        <w:tabs>
          <w:tab w:val="right" w:pos="9216" w:leader="none"/>
        </w:tabs>
        <w:jc w:val="both"/>
        <w:rPr>
          <w:b/>
          <w:b/>
          <w:bCs/>
          <w:color w:val="000000"/>
          <w:lang w:eastAsia="zh-CN"/>
        </w:rPr>
      </w:pPr>
      <w:r>
        <mc:AlternateContent>
          <mc:Choice Requires="wps">
            <w:drawing>
              <wp:anchor behindDoc="0" distT="0" distB="0" distL="114300" distR="114300" simplePos="0" locked="0" layoutInCell="1" allowOverlap="1" relativeHeight="3" wp14:anchorId="57E98A59">
                <wp:simplePos x="0" y="0"/>
                <wp:positionH relativeFrom="column">
                  <wp:posOffset>0</wp:posOffset>
                </wp:positionH>
                <wp:positionV relativeFrom="paragraph">
                  <wp:posOffset>635</wp:posOffset>
                </wp:positionV>
                <wp:extent cx="3175" cy="3175"/>
                <wp:effectExtent l="0" t="0" r="0" b="0"/>
                <wp:wrapNone/>
                <wp:docPr id="2"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2520" cy="252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114300" distR="114300" simplePos="0" locked="0" layoutInCell="1" allowOverlap="1" relativeHeight="4" wp14:anchorId="41884A88">
                <wp:simplePos x="0" y="0"/>
                <wp:positionH relativeFrom="column">
                  <wp:posOffset>0</wp:posOffset>
                </wp:positionH>
                <wp:positionV relativeFrom="paragraph">
                  <wp:posOffset>635</wp:posOffset>
                </wp:positionV>
                <wp:extent cx="3175" cy="3175"/>
                <wp:effectExtent l="0" t="0" r="0" b="0"/>
                <wp:wrapNone/>
                <wp:docPr id="3"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2520" cy="252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w:r>
      <w:r>
        <w:rPr>
          <w:b/>
          <w:bCs/>
          <w:color w:val="000000"/>
          <w:kern w:val="2"/>
          <w:lang w:eastAsia="zh-CN"/>
        </w:rPr>
        <w:t>E-meeting, Oct 11</w:t>
      </w:r>
      <w:r>
        <w:rPr>
          <w:b/>
          <w:bCs/>
          <w:color w:val="000000"/>
          <w:kern w:val="2"/>
          <w:vertAlign w:val="superscript"/>
          <w:lang w:eastAsia="zh-CN"/>
        </w:rPr>
        <w:t>th</w:t>
      </w:r>
      <w:r>
        <w:rPr>
          <w:b/>
          <w:bCs/>
          <w:color w:val="000000"/>
          <w:kern w:val="2"/>
          <w:lang w:eastAsia="zh-CN"/>
        </w:rPr>
        <w:t xml:space="preserve"> – Oct 19</w:t>
      </w:r>
      <w:r>
        <w:rPr>
          <w:b/>
          <w:bCs/>
          <w:color w:val="000000"/>
          <w:kern w:val="2"/>
          <w:vertAlign w:val="superscript"/>
          <w:lang w:eastAsia="zh-CN"/>
        </w:rPr>
        <w:t>th</w:t>
      </w:r>
      <w:r>
        <w:rPr>
          <w:b/>
          <w:bCs/>
          <w:color w:val="000000"/>
          <w:kern w:val="2"/>
          <w:lang w:eastAsia="zh-CN"/>
        </w:rPr>
        <w:t>, 2021</w:t>
      </w:r>
    </w:p>
    <w:p>
      <w:pPr>
        <w:pStyle w:val="Normal"/>
        <w:pBdr>
          <w:top w:val="single" w:sz="4" w:space="1" w:color="00000A"/>
        </w:pBdr>
        <w:jc w:val="both"/>
        <w:rPr>
          <w:b/>
          <w:b/>
          <w:kern w:val="2"/>
          <w:sz w:val="16"/>
          <w:szCs w:val="16"/>
          <w:lang w:eastAsia="zh-CN"/>
        </w:rPr>
      </w:pPr>
      <w:r>
        <w:rPr>
          <w:b/>
          <w:kern w:val="2"/>
          <w:sz w:val="16"/>
          <w:szCs w:val="16"/>
          <w:lang w:eastAsia="zh-CN"/>
        </w:rPr>
      </w:r>
    </w:p>
    <w:p>
      <w:pPr>
        <w:pStyle w:val="Normal"/>
        <w:spacing w:before="0" w:after="60"/>
        <w:ind w:left="1555" w:hanging="1555"/>
        <w:jc w:val="both"/>
        <w:rPr>
          <w:b/>
          <w:b/>
          <w:kern w:val="2"/>
          <w:lang w:eastAsia="zh-CN"/>
        </w:rPr>
      </w:pPr>
      <w:r>
        <w:rPr>
          <w:b/>
          <w:kern w:val="2"/>
          <w:lang w:eastAsia="zh-CN"/>
        </w:rPr>
        <w:t>Agenda Item:</w:t>
        <w:tab/>
        <w:t>8.5.3</w:t>
      </w:r>
    </w:p>
    <w:p>
      <w:pPr>
        <w:pStyle w:val="Normal"/>
        <w:spacing w:before="0" w:after="60"/>
        <w:ind w:left="1555" w:hanging="1555"/>
        <w:jc w:val="both"/>
        <w:rPr/>
      </w:pPr>
      <w:r>
        <w:rPr>
          <w:b/>
          <w:kern w:val="2"/>
          <w:lang w:eastAsia="zh-CN"/>
        </w:rPr>
        <w:t>Source:</w:t>
        <w:tab/>
        <w:t>CEWiT</w:t>
      </w:r>
    </w:p>
    <w:p>
      <w:pPr>
        <w:pStyle w:val="Normal"/>
        <w:spacing w:before="0" w:after="60"/>
        <w:ind w:left="1555" w:hanging="1555"/>
        <w:jc w:val="both"/>
        <w:rPr/>
      </w:pPr>
      <w:r>
        <w:rPr>
          <w:b/>
          <w:kern w:val="2"/>
          <w:lang w:eastAsia="zh-CN"/>
        </w:rPr>
        <w:t>Title:</w:t>
        <w:tab/>
        <w:t>Discussion on enhancements for DL-AoD positioning</w:t>
      </w:r>
    </w:p>
    <w:p>
      <w:pPr>
        <w:pStyle w:val="Normal"/>
        <w:spacing w:before="0" w:after="60"/>
        <w:ind w:left="1555" w:hanging="1555"/>
        <w:jc w:val="both"/>
        <w:rPr>
          <w:b/>
          <w:b/>
          <w:kern w:val="2"/>
          <w:lang w:eastAsia="zh-CN"/>
        </w:rPr>
      </w:pPr>
      <w:r>
        <w:rPr>
          <w:b/>
          <w:kern w:val="2"/>
          <w:lang w:eastAsia="zh-CN"/>
        </w:rPr>
        <w:t>Document for:</w:t>
        <w:tab/>
        <w:t xml:space="preserve">Discussion and Decision </w:t>
      </w:r>
    </w:p>
    <w:p>
      <w:pPr>
        <w:pStyle w:val="Normal"/>
        <w:pBdr>
          <w:bottom w:val="single" w:sz="4" w:space="1" w:color="00000A"/>
        </w:pBdr>
        <w:jc w:val="both"/>
        <w:rPr>
          <w:b/>
          <w:b/>
          <w:kern w:val="2"/>
          <w:sz w:val="16"/>
          <w:szCs w:val="16"/>
          <w:lang w:eastAsia="zh-CN"/>
        </w:rPr>
      </w:pPr>
      <w:r>
        <w:rPr>
          <w:b/>
          <w:kern w:val="2"/>
          <w:sz w:val="16"/>
          <w:szCs w:val="16"/>
          <w:lang w:eastAsia="zh-CN"/>
        </w:rPr>
      </w:r>
    </w:p>
    <w:p>
      <w:pPr>
        <w:pStyle w:val="Normal"/>
        <w:jc w:val="both"/>
        <w:rPr/>
      </w:pPr>
      <w:r>
        <w:rPr/>
      </w:r>
    </w:p>
    <w:p>
      <w:pPr>
        <w:pStyle w:val="Heading1"/>
        <w:numPr>
          <w:ilvl w:val="0"/>
          <w:numId w:val="2"/>
        </w:numPr>
        <w:rPr/>
      </w:pPr>
      <w:r>
        <w:rPr/>
        <w:t>Introduction</w:t>
      </w:r>
    </w:p>
    <w:p>
      <w:pPr>
        <w:pStyle w:val="Normal"/>
        <w:jc w:val="both"/>
        <w:rPr/>
      </w:pPr>
      <w:r>
        <w:rPr>
          <w:sz w:val="24"/>
          <w:szCs w:val="32"/>
          <w:lang w:eastAsia="zh-CN"/>
        </w:rPr>
        <w:t>In RAN#90-e</w:t>
      </w:r>
      <w:r>
        <w:rPr>
          <w:sz w:val="24"/>
          <w:szCs w:val="32"/>
          <w:lang w:eastAsia="zh-CN"/>
        </w:rPr>
        <w:fldChar w:fldCharType="begin"/>
      </w:r>
      <w:r>
        <w:rPr>
          <w:sz w:val="24"/>
          <w:szCs w:val="32"/>
        </w:rPr>
        <w:instrText> REF _Ref524868549 \n \h </w:instrText>
      </w:r>
      <w:r>
        <w:rPr>
          <w:sz w:val="24"/>
          <w:szCs w:val="32"/>
        </w:rPr>
        <w:fldChar w:fldCharType="separate"/>
      </w:r>
      <w:r>
        <w:rPr>
          <w:sz w:val="24"/>
          <w:szCs w:val="32"/>
        </w:rPr>
        <w:t>Error: Reference source not found</w:t>
      </w:r>
      <w:r>
        <w:rPr>
          <w:sz w:val="24"/>
          <w:szCs w:val="32"/>
        </w:rPr>
        <w:fldChar w:fldCharType="end"/>
      </w:r>
      <w:r>
        <w:rPr>
          <w:sz w:val="24"/>
          <w:szCs w:val="32"/>
          <w:lang w:eastAsia="zh-CN"/>
        </w:rPr>
        <w:t xml:space="preserve">, the approved WI for Rel-17 positioning enhancement includes enhancement for DL-AoD positioning method for better angle-based positioning estimation. RAN1 started work on this WI in RAN1#104-e. </w:t>
      </w:r>
      <w:r>
        <w:rPr>
          <w:sz w:val="24"/>
          <w:szCs w:val="32"/>
          <w:lang w:val="en-US" w:eastAsia="x-none"/>
        </w:rPr>
        <w:t>This contribution provides the further deliberation and detailing on remaining aspects for UL-AoD positioning method in Rel 17.</w:t>
      </w:r>
    </w:p>
    <w:p>
      <w:pPr>
        <w:pStyle w:val="Normal"/>
        <w:jc w:val="both"/>
        <w:rPr>
          <w:lang w:eastAsia="zh-CN"/>
        </w:rPr>
      </w:pPr>
      <w:r>
        <w:rPr>
          <w:lang w:eastAsia="zh-CN"/>
        </w:rPr>
      </w:r>
    </w:p>
    <w:p>
      <w:pPr>
        <w:pStyle w:val="Normal"/>
        <w:pBdr>
          <w:bottom w:val="single" w:sz="4" w:space="1" w:color="00000A"/>
        </w:pBdr>
        <w:jc w:val="both"/>
        <w:rPr>
          <w:lang w:val="en-US" w:eastAsia="x-none"/>
        </w:rPr>
      </w:pPr>
      <w:r>
        <w:rPr>
          <w:lang w:val="en-US" w:eastAsia="x-none"/>
        </w:rPr>
      </w:r>
    </w:p>
    <w:p>
      <w:pPr>
        <w:pStyle w:val="Heading1"/>
        <w:numPr>
          <w:ilvl w:val="0"/>
          <w:numId w:val="4"/>
        </w:numPr>
        <w:rPr>
          <w:lang w:eastAsia="x-none"/>
        </w:rPr>
      </w:pPr>
      <w:r>
        <w:rPr>
          <w:lang w:eastAsia="x-none"/>
        </w:rPr>
        <w:t>Path RSRP definition</w:t>
      </w:r>
    </w:p>
    <w:p>
      <w:pPr>
        <w:pStyle w:val="Normal"/>
        <w:spacing w:before="4335" w:after="0"/>
        <w:jc w:val="both"/>
        <w:rPr/>
      </w:pPr>
      <w:r>
        <mc:AlternateContent>
          <mc:Choice Requires="wps">
            <w:drawing>
              <wp:anchor behindDoc="0" distT="45720" distB="45720" distL="114300" distR="114300" simplePos="0" locked="0" layoutInCell="1" allowOverlap="1" relativeHeight="5" wp14:anchorId="378CA3BE">
                <wp:simplePos x="0" y="0"/>
                <wp:positionH relativeFrom="margin">
                  <wp:align>right</wp:align>
                </wp:positionH>
                <wp:positionV relativeFrom="paragraph">
                  <wp:posOffset>735330</wp:posOffset>
                </wp:positionV>
                <wp:extent cx="5926455" cy="2752725"/>
                <wp:effectExtent l="0" t="0" r="19050" b="10160"/>
                <wp:wrapTopAndBottom/>
                <wp:docPr id="4" name="Text Box 2"/>
                <a:graphic xmlns:a="http://schemas.openxmlformats.org/drawingml/2006/main">
                  <a:graphicData uri="http://schemas.microsoft.com/office/word/2010/wordprocessingShape">
                    <wps:wsp>
                      <wps:cNvSpPr/>
                      <wps:spPr>
                        <a:xfrm>
                          <a:off x="0" y="0"/>
                          <a:ext cx="5925960" cy="2752200"/>
                        </a:xfrm>
                        <a:prstGeom prst="rect">
                          <a:avLst/>
                        </a:prstGeom>
                        <a:solidFill>
                          <a:srgbClr val="ffffff"/>
                        </a:solidFill>
                        <a:ln w="9360">
                          <a:solidFill>
                            <a:srgbClr val="000000"/>
                          </a:solidFill>
                          <a:miter/>
                        </a:ln>
                      </wps:spPr>
                      <wps:style>
                        <a:lnRef idx="0"/>
                        <a:fillRef idx="0"/>
                        <a:effectRef idx="0"/>
                        <a:fontRef idx="minor"/>
                      </wps:style>
                      <wps:txbx>
                        <w:txbxContent>
                          <w:p>
                            <w:pPr>
                              <w:pStyle w:val="FrameContents"/>
                              <w:rPr>
                                <w:sz w:val="24"/>
                                <w:szCs w:val="32"/>
                                <w:lang w:val="en-US" w:eastAsia="x-none"/>
                              </w:rPr>
                            </w:pPr>
                            <w:r>
                              <w:rPr>
                                <w:color w:val="00000A"/>
                                <w:sz w:val="24"/>
                                <w:szCs w:val="32"/>
                                <w:highlight w:val="green"/>
                                <w:lang w:val="en-US" w:eastAsia="x-none"/>
                              </w:rPr>
                              <w:t>Agreement:</w:t>
                            </w:r>
                          </w:p>
                          <w:p>
                            <w:pPr>
                              <w:pStyle w:val="FrameContents"/>
                              <w:numPr>
                                <w:ilvl w:val="0"/>
                                <w:numId w:val="5"/>
                              </w:numPr>
                              <w:rPr>
                                <w:sz w:val="24"/>
                                <w:szCs w:val="32"/>
                                <w:lang w:val="en-US" w:eastAsia="x-none"/>
                              </w:rPr>
                            </w:pPr>
                            <w:r>
                              <w:rPr>
                                <w:color w:val="00000A"/>
                                <w:sz w:val="24"/>
                                <w:szCs w:val="32"/>
                                <w:lang w:val="en-US" w:eastAsia="x-none"/>
                              </w:rPr>
                              <w:t>For definition of the path PRS RSRP, consider the following options until RAN1#106b-e:</w:t>
                            </w:r>
                          </w:p>
                          <w:p>
                            <w:pPr>
                              <w:pStyle w:val="FrameContents"/>
                              <w:numPr>
                                <w:ilvl w:val="0"/>
                                <w:numId w:val="6"/>
                              </w:numPr>
                              <w:rPr>
                                <w:sz w:val="24"/>
                                <w:szCs w:val="32"/>
                                <w:lang w:val="en-US" w:eastAsia="x-none"/>
                              </w:rPr>
                            </w:pPr>
                            <w:r>
                              <w:rPr>
                                <w:color w:val="00000A"/>
                                <w:sz w:val="24"/>
                                <w:szCs w:val="32"/>
                                <w:lang w:val="en-US" w:eastAsia="x-none"/>
                              </w:rPr>
                              <w:t xml:space="preserve">Option 1: the measured path PRS RSRP correspond to the power of the channel impulse response, at a certain path delay, over which the DL PRS is received. </w:t>
                            </w:r>
                          </w:p>
                          <w:p>
                            <w:pPr>
                              <w:pStyle w:val="FrameContents"/>
                              <w:numPr>
                                <w:ilvl w:val="0"/>
                                <w:numId w:val="6"/>
                              </w:numPr>
                              <w:rPr>
                                <w:sz w:val="24"/>
                                <w:szCs w:val="32"/>
                                <w:lang w:val="en-US" w:eastAsia="x-none"/>
                              </w:rPr>
                            </w:pPr>
                            <w:r>
                              <w:rPr>
                                <w:color w:val="00000A"/>
                                <w:sz w:val="24"/>
                                <w:szCs w:val="32"/>
                                <w:lang w:val="en-US" w:eastAsia="x-none"/>
                              </w:rPr>
                              <w:t xml:space="preserve">Option 2: the path PRS RSRP correspond to the accumulated power of the channel impulse response over which the DL PRS is received, over a time duration corresponding to the given path delay </w:t>
                            </w:r>
                          </w:p>
                          <w:p>
                            <w:pPr>
                              <w:pStyle w:val="FrameContents"/>
                              <w:numPr>
                                <w:ilvl w:val="1"/>
                                <w:numId w:val="6"/>
                              </w:numPr>
                              <w:rPr>
                                <w:sz w:val="24"/>
                                <w:szCs w:val="32"/>
                                <w:lang w:val="en-US" w:eastAsia="x-none"/>
                              </w:rPr>
                            </w:pPr>
                            <w:r>
                              <w:rPr>
                                <w:color w:val="00000A"/>
                                <w:sz w:val="24"/>
                                <w:szCs w:val="32"/>
                                <w:lang w:val="en-US" w:eastAsia="x-none"/>
                              </w:rPr>
                              <w:t>FFS: whether/how is the window conveyed to the UE (i.e., fixed in specification or configured in measurement request or determined by the UE)</w:t>
                            </w:r>
                          </w:p>
                          <w:p>
                            <w:pPr>
                              <w:pStyle w:val="FrameContents"/>
                              <w:numPr>
                                <w:ilvl w:val="0"/>
                                <w:numId w:val="6"/>
                              </w:numPr>
                              <w:rPr>
                                <w:sz w:val="24"/>
                                <w:szCs w:val="32"/>
                                <w:lang w:val="en-US" w:eastAsia="x-none"/>
                              </w:rPr>
                            </w:pPr>
                            <w:r>
                              <w:rPr>
                                <w:color w:val="00000A"/>
                                <w:sz w:val="24"/>
                                <w:szCs w:val="32"/>
                                <w:lang w:val="en-US" w:eastAsia="x-none"/>
                              </w:rPr>
                              <w:t>FFS on relationship with the UE DL PRS measurement bandwidth.</w:t>
                            </w:r>
                          </w:p>
                          <w:p>
                            <w:pPr>
                              <w:pStyle w:val="FrameContents"/>
                              <w:numPr>
                                <w:ilvl w:val="0"/>
                                <w:numId w:val="6"/>
                              </w:numPr>
                              <w:rPr>
                                <w:sz w:val="24"/>
                                <w:szCs w:val="32"/>
                                <w:lang w:val="en-US" w:eastAsia="x-none"/>
                              </w:rPr>
                            </w:pPr>
                            <w:r>
                              <w:rPr>
                                <w:color w:val="00000A"/>
                                <w:sz w:val="24"/>
                                <w:szCs w:val="32"/>
                                <w:lang w:val="en-US" w:eastAsia="x-none"/>
                              </w:rPr>
                              <w:t xml:space="preserve">FFS: normalization of the path RSRP measurement with DL PRS RSRP (i.e. RSRP for all path as defined in Rel-16) could be included in the measurement definition. </w:t>
                            </w:r>
                          </w:p>
                          <w:p>
                            <w:pPr>
                              <w:pStyle w:val="FrameContents"/>
                              <w:numPr>
                                <w:ilvl w:val="0"/>
                                <w:numId w:val="6"/>
                              </w:numPr>
                              <w:rPr>
                                <w:sz w:val="24"/>
                                <w:szCs w:val="32"/>
                                <w:lang w:val="en-US" w:eastAsia="x-none"/>
                              </w:rPr>
                            </w:pPr>
                            <w:r>
                              <w:rPr>
                                <w:color w:val="00000A"/>
                                <w:sz w:val="24"/>
                                <w:szCs w:val="32"/>
                                <w:lang w:val="en-US" w:eastAsia="x-none"/>
                              </w:rPr>
                              <w:t>FFS: Further details of the definition, e.g. definition of the certain path delay</w:t>
                            </w:r>
                          </w:p>
                          <w:p>
                            <w:pPr>
                              <w:pStyle w:val="FrameContents"/>
                              <w:numPr>
                                <w:ilvl w:val="0"/>
                                <w:numId w:val="6"/>
                              </w:numPr>
                              <w:rPr>
                                <w:sz w:val="24"/>
                                <w:szCs w:val="32"/>
                                <w:lang w:val="en-US" w:eastAsia="x-none"/>
                              </w:rPr>
                            </w:pPr>
                            <w:r>
                              <w:rPr>
                                <w:color w:val="00000A"/>
                                <w:sz w:val="24"/>
                                <w:szCs w:val="32"/>
                                <w:lang w:val="en-US" w:eastAsia="x-none"/>
                              </w:rPr>
                              <w:t>Up to RAN4 to define any test/requirement for the measurement.</w:t>
                            </w:r>
                          </w:p>
                          <w:p>
                            <w:pPr>
                              <w:pStyle w:val="FrameContents"/>
                              <w:rPr/>
                            </w:pPr>
                            <w:r>
                              <w:rPr/>
                            </w:r>
                          </w:p>
                        </w:txbxContent>
                      </wps:txbx>
                      <wps:bodyPr>
                        <a:spAutoFit/>
                      </wps:bodyPr>
                    </wps:wsp>
                  </a:graphicData>
                </a:graphic>
                <wp14:sizeRelV relativeFrom="margin">
                  <wp14:pctHeight>20000</wp14:pctHeight>
                </wp14:sizeRelV>
              </wp:anchor>
            </w:drawing>
          </mc:Choice>
          <mc:Fallback>
            <w:pict>
              <v:rect id="shape_0" ID="Text Box 2" fillcolor="white" stroked="t" style="position:absolute;margin-left:-9.15pt;margin-top:57.9pt;width:466.55pt;height:216.65pt;mso-position-horizontal:right;mso-position-horizontal-relative:margin" wp14:anchorId="378CA3BE">
                <w10:wrap type="square"/>
                <v:fill o:detectmouseclick="t" type="solid" color2="black"/>
                <v:stroke color="black" weight="9360" joinstyle="miter" endcap="flat"/>
                <v:textbox>
                  <w:txbxContent>
                    <w:p>
                      <w:pPr>
                        <w:pStyle w:val="FrameContents"/>
                        <w:rPr>
                          <w:sz w:val="24"/>
                          <w:szCs w:val="32"/>
                          <w:lang w:val="en-US" w:eastAsia="x-none"/>
                        </w:rPr>
                      </w:pPr>
                      <w:r>
                        <w:rPr>
                          <w:color w:val="00000A"/>
                          <w:sz w:val="24"/>
                          <w:szCs w:val="32"/>
                          <w:highlight w:val="green"/>
                          <w:lang w:val="en-US" w:eastAsia="x-none"/>
                        </w:rPr>
                        <w:t>Agreement:</w:t>
                      </w:r>
                    </w:p>
                    <w:p>
                      <w:pPr>
                        <w:pStyle w:val="FrameContents"/>
                        <w:numPr>
                          <w:ilvl w:val="0"/>
                          <w:numId w:val="5"/>
                        </w:numPr>
                        <w:rPr>
                          <w:sz w:val="24"/>
                          <w:szCs w:val="32"/>
                          <w:lang w:val="en-US" w:eastAsia="x-none"/>
                        </w:rPr>
                      </w:pPr>
                      <w:r>
                        <w:rPr>
                          <w:color w:val="00000A"/>
                          <w:sz w:val="24"/>
                          <w:szCs w:val="32"/>
                          <w:lang w:val="en-US" w:eastAsia="x-none"/>
                        </w:rPr>
                        <w:t>For definition of the path PRS RSRP, consider the following options until RAN1#106b-e:</w:t>
                      </w:r>
                    </w:p>
                    <w:p>
                      <w:pPr>
                        <w:pStyle w:val="FrameContents"/>
                        <w:numPr>
                          <w:ilvl w:val="0"/>
                          <w:numId w:val="6"/>
                        </w:numPr>
                        <w:rPr>
                          <w:sz w:val="24"/>
                          <w:szCs w:val="32"/>
                          <w:lang w:val="en-US" w:eastAsia="x-none"/>
                        </w:rPr>
                      </w:pPr>
                      <w:r>
                        <w:rPr>
                          <w:color w:val="00000A"/>
                          <w:sz w:val="24"/>
                          <w:szCs w:val="32"/>
                          <w:lang w:val="en-US" w:eastAsia="x-none"/>
                        </w:rPr>
                        <w:t xml:space="preserve">Option 1: the measured path PRS RSRP correspond to the power of the channel impulse response, at a certain path delay, over which the DL PRS is received. </w:t>
                      </w:r>
                    </w:p>
                    <w:p>
                      <w:pPr>
                        <w:pStyle w:val="FrameContents"/>
                        <w:numPr>
                          <w:ilvl w:val="0"/>
                          <w:numId w:val="6"/>
                        </w:numPr>
                        <w:rPr>
                          <w:sz w:val="24"/>
                          <w:szCs w:val="32"/>
                          <w:lang w:val="en-US" w:eastAsia="x-none"/>
                        </w:rPr>
                      </w:pPr>
                      <w:r>
                        <w:rPr>
                          <w:color w:val="00000A"/>
                          <w:sz w:val="24"/>
                          <w:szCs w:val="32"/>
                          <w:lang w:val="en-US" w:eastAsia="x-none"/>
                        </w:rPr>
                        <w:t xml:space="preserve">Option 2: the path PRS RSRP correspond to the accumulated power of the channel impulse response over which the DL PRS is received, over a time duration corresponding to the given path delay </w:t>
                      </w:r>
                    </w:p>
                    <w:p>
                      <w:pPr>
                        <w:pStyle w:val="FrameContents"/>
                        <w:numPr>
                          <w:ilvl w:val="1"/>
                          <w:numId w:val="6"/>
                        </w:numPr>
                        <w:rPr>
                          <w:sz w:val="24"/>
                          <w:szCs w:val="32"/>
                          <w:lang w:val="en-US" w:eastAsia="x-none"/>
                        </w:rPr>
                      </w:pPr>
                      <w:r>
                        <w:rPr>
                          <w:color w:val="00000A"/>
                          <w:sz w:val="24"/>
                          <w:szCs w:val="32"/>
                          <w:lang w:val="en-US" w:eastAsia="x-none"/>
                        </w:rPr>
                        <w:t>FFS: whether/how is the window conveyed to the UE (i.e., fixed in specification or configured in measurement request or determined by the UE)</w:t>
                      </w:r>
                    </w:p>
                    <w:p>
                      <w:pPr>
                        <w:pStyle w:val="FrameContents"/>
                        <w:numPr>
                          <w:ilvl w:val="0"/>
                          <w:numId w:val="6"/>
                        </w:numPr>
                        <w:rPr>
                          <w:sz w:val="24"/>
                          <w:szCs w:val="32"/>
                          <w:lang w:val="en-US" w:eastAsia="x-none"/>
                        </w:rPr>
                      </w:pPr>
                      <w:r>
                        <w:rPr>
                          <w:color w:val="00000A"/>
                          <w:sz w:val="24"/>
                          <w:szCs w:val="32"/>
                          <w:lang w:val="en-US" w:eastAsia="x-none"/>
                        </w:rPr>
                        <w:t>FFS on relationship with the UE DL PRS measurement bandwidth.</w:t>
                      </w:r>
                    </w:p>
                    <w:p>
                      <w:pPr>
                        <w:pStyle w:val="FrameContents"/>
                        <w:numPr>
                          <w:ilvl w:val="0"/>
                          <w:numId w:val="6"/>
                        </w:numPr>
                        <w:rPr>
                          <w:sz w:val="24"/>
                          <w:szCs w:val="32"/>
                          <w:lang w:val="en-US" w:eastAsia="x-none"/>
                        </w:rPr>
                      </w:pPr>
                      <w:r>
                        <w:rPr>
                          <w:color w:val="00000A"/>
                          <w:sz w:val="24"/>
                          <w:szCs w:val="32"/>
                          <w:lang w:val="en-US" w:eastAsia="x-none"/>
                        </w:rPr>
                        <w:t xml:space="preserve">FFS: normalization of the path RSRP measurement with DL PRS RSRP (i.e. RSRP for all path as defined in Rel-16) could be included in the measurement definition. </w:t>
                      </w:r>
                    </w:p>
                    <w:p>
                      <w:pPr>
                        <w:pStyle w:val="FrameContents"/>
                        <w:numPr>
                          <w:ilvl w:val="0"/>
                          <w:numId w:val="6"/>
                        </w:numPr>
                        <w:rPr>
                          <w:sz w:val="24"/>
                          <w:szCs w:val="32"/>
                          <w:lang w:val="en-US" w:eastAsia="x-none"/>
                        </w:rPr>
                      </w:pPr>
                      <w:r>
                        <w:rPr>
                          <w:color w:val="00000A"/>
                          <w:sz w:val="24"/>
                          <w:szCs w:val="32"/>
                          <w:lang w:val="en-US" w:eastAsia="x-none"/>
                        </w:rPr>
                        <w:t>FFS: Further details of the definition, e.g. definition of the certain path delay</w:t>
                      </w:r>
                    </w:p>
                    <w:p>
                      <w:pPr>
                        <w:pStyle w:val="FrameContents"/>
                        <w:numPr>
                          <w:ilvl w:val="0"/>
                          <w:numId w:val="6"/>
                        </w:numPr>
                        <w:rPr>
                          <w:sz w:val="24"/>
                          <w:szCs w:val="32"/>
                          <w:lang w:val="en-US" w:eastAsia="x-none"/>
                        </w:rPr>
                      </w:pPr>
                      <w:r>
                        <w:rPr>
                          <w:color w:val="00000A"/>
                          <w:sz w:val="24"/>
                          <w:szCs w:val="32"/>
                          <w:lang w:val="en-US" w:eastAsia="x-none"/>
                        </w:rPr>
                        <w:t>Up to RAN4 to define any test/requirement for the measurement.</w:t>
                      </w:r>
                    </w:p>
                    <w:p>
                      <w:pPr>
                        <w:pStyle w:val="FrameContents"/>
                        <w:rPr/>
                      </w:pPr>
                      <w:r>
                        <w:rPr/>
                      </w:r>
                    </w:p>
                  </w:txbxContent>
                </v:textbox>
              </v:rect>
            </w:pict>
          </mc:Fallback>
        </mc:AlternateContent>
      </w:r>
      <w:r>
        <w:rPr>
          <w:rFonts w:ascii="Times New Roman" w:hAnsi="Times New Roman"/>
          <w:sz w:val="24"/>
          <w:lang w:val="en-US" w:eastAsia="x-none"/>
        </w:rPr>
        <w:t>As agreed in the last meeting, we support that the definition as state in option-1 should be considered as the definition of the path-PRS-RSRP.</w:t>
      </w:r>
    </w:p>
    <w:p>
      <w:pPr>
        <w:pStyle w:val="Normal"/>
        <w:jc w:val="both"/>
        <w:rPr>
          <w:rFonts w:ascii="Times New Roman" w:hAnsi="Times New Roman"/>
          <w:sz w:val="24"/>
          <w:lang w:val="en-US" w:eastAsia="x-none"/>
        </w:rPr>
      </w:pPr>
      <w:r>
        <w:rPr>
          <w:rFonts w:ascii="Times New Roman" w:hAnsi="Times New Roman"/>
          <w:sz w:val="24"/>
          <w:lang w:val="en-US" w:eastAsia="x-none"/>
        </w:rPr>
      </w:r>
    </w:p>
    <w:p>
      <w:pPr>
        <w:pStyle w:val="Normal"/>
        <w:jc w:val="both"/>
        <w:rPr/>
      </w:pPr>
      <w:r>
        <w:rPr>
          <w:rFonts w:ascii="Times New Roman" w:hAnsi="Times New Roman"/>
          <w:sz w:val="24"/>
          <w:lang w:val="en-US" w:eastAsia="x-none"/>
        </w:rPr>
        <w:t xml:space="preserve">The path-PRS-RSRP can defined as the power of the channel impulse response at certain path delay, over which the DL PRS is received. It is  not a good idea to configure the measurement window for path-PRS-RSRP from the LMF specially when the UE is mobile. In such scenarios, the measurement window will be outdated based on the velocity of the UE. To address this issue, the LMF might provide a wider window, but the wide window might capture the power of multiple paths. Hence, this certain path delay should be estimated at the receiver itself. </w:t>
      </w:r>
    </w:p>
    <w:p>
      <w:pPr>
        <w:pStyle w:val="Normal"/>
        <w:jc w:val="both"/>
        <w:rPr>
          <w:rFonts w:ascii="Times New Roman" w:hAnsi="Times New Roman"/>
          <w:sz w:val="24"/>
          <w:lang w:val="en-US" w:eastAsia="x-none"/>
        </w:rPr>
      </w:pPr>
      <w:r>
        <w:rPr>
          <w:rFonts w:ascii="Times New Roman" w:hAnsi="Times New Roman"/>
          <w:sz w:val="24"/>
          <w:lang w:val="en-US" w:eastAsia="x-none"/>
        </w:rPr>
      </w:r>
    </w:p>
    <w:p>
      <w:pPr>
        <w:pStyle w:val="Normal"/>
        <w:jc w:val="both"/>
        <w:rPr/>
      </w:pPr>
      <w:r>
        <w:rPr>
          <w:rFonts w:ascii="Times New Roman" w:hAnsi="Times New Roman"/>
          <w:b/>
          <w:bCs/>
          <w:sz w:val="24"/>
          <w:lang w:val="en-US" w:eastAsia="x-none"/>
        </w:rPr>
        <w:t>Proposal-1</w:t>
      </w:r>
      <w:r>
        <w:rPr>
          <w:rFonts w:ascii="Times New Roman" w:hAnsi="Times New Roman"/>
          <w:sz w:val="24"/>
          <w:lang w:val="en-US" w:eastAsia="x-none"/>
        </w:rPr>
        <w:t>: We support Option 1 for definition of the path-PRS-RSRP.</w:t>
      </w:r>
    </w:p>
    <w:p>
      <w:pPr>
        <w:pStyle w:val="Normal"/>
        <w:jc w:val="both"/>
        <w:rPr>
          <w:rFonts w:ascii="Times New Roman" w:hAnsi="Times New Roman"/>
          <w:sz w:val="24"/>
          <w:lang w:val="en-US" w:eastAsia="x-none"/>
        </w:rPr>
      </w:pPr>
      <w:r>
        <w:rPr>
          <w:rFonts w:ascii="Times New Roman" w:hAnsi="Times New Roman"/>
          <w:sz w:val="24"/>
          <w:lang w:val="en-US" w:eastAsia="x-none"/>
        </w:rPr>
      </w:r>
    </w:p>
    <w:p>
      <w:pPr>
        <w:pStyle w:val="Normal"/>
        <w:jc w:val="both"/>
        <w:rPr/>
      </w:pPr>
      <w:r>
        <w:rPr>
          <w:rFonts w:ascii="Times New Roman" w:hAnsi="Times New Roman"/>
          <w:b/>
          <w:bCs/>
          <w:sz w:val="24"/>
          <w:lang w:val="en-US" w:eastAsia="x-none"/>
        </w:rPr>
        <w:t>Proposal-2</w:t>
      </w:r>
      <w:r>
        <w:rPr>
          <w:rFonts w:ascii="Times New Roman" w:hAnsi="Times New Roman"/>
          <w:sz w:val="24"/>
          <w:lang w:val="en-US" w:eastAsia="x-none"/>
        </w:rPr>
        <w:t>: The delay of a certain path, whose path-RSRP has to be reported, should be estimated at the receiver itself.</w:t>
      </w:r>
    </w:p>
    <w:p>
      <w:pPr>
        <w:pStyle w:val="Normal"/>
        <w:jc w:val="both"/>
        <w:rPr>
          <w:rFonts w:ascii="Times New Roman" w:hAnsi="Times New Roman"/>
          <w:sz w:val="24"/>
          <w:lang w:val="en-US" w:eastAsia="x-none"/>
        </w:rPr>
      </w:pPr>
      <w:r>
        <w:rPr>
          <w:rFonts w:ascii="Times New Roman" w:hAnsi="Times New Roman"/>
          <w:sz w:val="24"/>
          <w:lang w:val="en-US" w:eastAsia="x-none"/>
        </w:rPr>
      </w:r>
    </w:p>
    <w:p>
      <w:pPr>
        <w:pStyle w:val="Normal"/>
        <w:jc w:val="both"/>
        <w:rPr>
          <w:rFonts w:ascii="Times New Roman" w:hAnsi="Times New Roman"/>
          <w:sz w:val="24"/>
          <w:lang w:val="en-US" w:eastAsia="x-none"/>
        </w:rPr>
      </w:pPr>
      <w:r>
        <w:rPr>
          <w:rFonts w:ascii="Times New Roman" w:hAnsi="Times New Roman"/>
          <w:sz w:val="24"/>
          <w:lang w:val="en-US" w:eastAsia="x-none"/>
        </w:rPr>
        <w:t>For path RSRP measurement, the following definition can be considered:</w:t>
      </w:r>
    </w:p>
    <w:p>
      <w:pPr>
        <w:pStyle w:val="Normal"/>
        <w:jc w:val="both"/>
        <w:rPr>
          <w:rFonts w:ascii="Times New Roman" w:hAnsi="Times New Roman"/>
          <w:iCs/>
          <w:sz w:val="24"/>
          <w:lang w:val="en-US" w:eastAsia="x-none"/>
        </w:rPr>
      </w:pPr>
      <w:r>
        <w:rPr/>
      </w:r>
      <m:oMath xmlns:m="http://schemas.openxmlformats.org/officeDocument/2006/math">
        <m:sSup>
          <m:e>
            <m:d>
              <m:dPr>
                <m:begChr m:val="|"/>
                <m:endChr m:val="|"/>
              </m:dPr>
              <m:e>
                <m:r>
                  <w:rPr>
                    <w:rFonts w:ascii="Cambria Math" w:hAnsi="Cambria Math"/>
                  </w:rPr>
                  <m:t xml:space="preserve">h</m:t>
                </m:r>
                <m:d>
                  <m:dPr>
                    <m:begChr m:val="("/>
                    <m:endChr m:val=")"/>
                  </m:dPr>
                  <m:e>
                    <m:f>
                      <m:fPr>
                        <m:type m:val="lin"/>
                      </m:fPr>
                      <m:num>
                        <m:sSub>
                          <m:e>
                            <m:r>
                              <w:rPr>
                                <w:rFonts w:ascii="Cambria Math" w:hAnsi="Cambria Math"/>
                              </w:rPr>
                              <m:t xml:space="preserve">τ</m:t>
                            </m:r>
                          </m:e>
                          <m:sub>
                            <m:r>
                              <w:rPr>
                                <w:rFonts w:ascii="Cambria Math" w:hAnsi="Cambria Math"/>
                              </w:rPr>
                              <m:t xml:space="preserve">n</m:t>
                            </m:r>
                          </m:sub>
                        </m:sSub>
                      </m:num>
                      <m:den>
                        <m:sSub>
                          <m:e>
                            <m:r>
                              <w:rPr>
                                <w:rFonts w:ascii="Cambria Math" w:hAnsi="Cambria Math"/>
                              </w:rPr>
                              <m:t xml:space="preserve">T</m:t>
                            </m:r>
                          </m:e>
                          <m:sub>
                            <m:r>
                              <w:rPr>
                                <w:rFonts w:ascii="Cambria Math" w:hAnsi="Cambria Math"/>
                              </w:rPr>
                              <m:t xml:space="preserve">s</m:t>
                            </m:r>
                          </m:sub>
                        </m:sSub>
                      </m:den>
                    </m:f>
                  </m:e>
                </m:d>
              </m:e>
            </m:d>
          </m:e>
          <m:sup>
            <m:r>
              <w:rPr>
                <w:rFonts w:ascii="Cambria Math" w:hAnsi="Cambria Math"/>
              </w:rPr>
              <m:t xml:space="preserve">2</m:t>
            </m:r>
          </m:sup>
        </m:sSup>
        <m:r>
          <w:rPr>
            <w:rFonts w:ascii="Cambria Math" w:hAnsi="Cambria Math"/>
          </w:rPr>
          <m:t xml:space="preserve">=</m:t>
        </m:r>
        <m:sSup>
          <m:e>
            <m:f>
              <m:num>
                <m:r>
                  <w:rPr>
                    <w:rFonts w:ascii="Cambria Math" w:hAnsi="Cambria Math"/>
                  </w:rPr>
                  <m:t xml:space="preserve">1</m:t>
                </m:r>
              </m:num>
              <m:den>
                <m:r>
                  <w:rPr>
                    <w:rFonts w:ascii="Cambria Math" w:hAnsi="Cambria Math"/>
                  </w:rPr>
                  <m:t xml:space="preserve">N</m:t>
                </m:r>
              </m:den>
            </m:f>
            <m:d>
              <m:dPr>
                <m:begChr m:val="|"/>
                <m:endChr m:val="|"/>
              </m:dPr>
              <m:e>
                <m:nary>
                  <m:naryPr>
                    <m:chr m:val="∑"/>
                  </m:naryPr>
                  <m:sub>
                    <m:r>
                      <w:rPr>
                        <w:rFonts w:ascii="Cambria Math" w:hAnsi="Cambria Math"/>
                      </w:rPr>
                      <m:t xml:space="preserve">k</m:t>
                    </m:r>
                    <m:r>
                      <w:rPr>
                        <w:rFonts w:ascii="Cambria Math" w:hAnsi="Cambria Math"/>
                      </w:rPr>
                      <m:t xml:space="preserve">=</m:t>
                    </m:r>
                    <m:r>
                      <w:rPr>
                        <w:rFonts w:ascii="Cambria Math" w:hAnsi="Cambria Math"/>
                      </w:rPr>
                      <m:t xml:space="preserve">1</m:t>
                    </m:r>
                  </m:sub>
                  <m:sup>
                    <m:sSub>
                      <m:e>
                        <m:r>
                          <w:rPr>
                            <w:rFonts w:ascii="Cambria Math" w:hAnsi="Cambria Math"/>
                          </w:rPr>
                          <m:t xml:space="preserve">N</m:t>
                        </m:r>
                      </m:e>
                      <m:sub>
                        <m:r>
                          <w:rPr>
                            <w:rFonts w:ascii="Cambria Math" w:hAnsi="Cambria Math"/>
                          </w:rPr>
                          <m:t xml:space="preserve">sc</m:t>
                        </m:r>
                      </m:sub>
                    </m:sSub>
                  </m:sup>
                  <m:e>
                    <m:r>
                      <w:rPr>
                        <w:rFonts w:ascii="Cambria Math" w:hAnsi="Cambria Math"/>
                      </w:rPr>
                      <m:t xml:space="preserve">H</m:t>
                    </m:r>
                    <m:d>
                      <m:dPr>
                        <m:begChr m:val="["/>
                        <m:endChr m:val="]"/>
                      </m:dPr>
                      <m:e>
                        <m:r>
                          <w:rPr>
                            <w:rFonts w:ascii="Cambria Math" w:hAnsi="Cambria Math"/>
                          </w:rPr>
                          <m:t xml:space="preserve">k</m:t>
                        </m:r>
                      </m:e>
                    </m:d>
                    <m:r>
                      <w:rPr>
                        <w:rFonts w:ascii="Cambria Math" w:hAnsi="Cambria Math"/>
                      </w:rPr>
                      <m:t xml:space="preserve">∗</m:t>
                    </m:r>
                    <m:sSup>
                      <m:e>
                        <m:r>
                          <w:rPr>
                            <w:rFonts w:ascii="Cambria Math" w:hAnsi="Cambria Math"/>
                          </w:rPr>
                          <m:t xml:space="preserve">e</m:t>
                        </m:r>
                      </m:e>
                      <m:sup>
                        <m:f>
                          <m:num>
                            <m:r>
                              <w:rPr>
                                <w:rFonts w:ascii="Cambria Math" w:hAnsi="Cambria Math"/>
                              </w:rPr>
                              <m:t xml:space="preserve">−</m:t>
                            </m:r>
                            <m:r>
                              <w:rPr>
                                <w:rFonts w:ascii="Cambria Math" w:hAnsi="Cambria Math"/>
                              </w:rPr>
                              <m:t xml:space="preserve">j</m:t>
                            </m:r>
                            <m:r>
                              <w:rPr>
                                <w:rFonts w:ascii="Cambria Math" w:hAnsi="Cambria Math"/>
                              </w:rPr>
                              <m:t xml:space="preserve">2</m:t>
                            </m:r>
                            <m:r>
                              <w:rPr>
                                <w:rFonts w:ascii="Cambria Math" w:hAnsi="Cambria Math"/>
                              </w:rPr>
                              <m:t xml:space="preserve">πk</m:t>
                            </m:r>
                            <m:sSub>
                              <m:e>
                                <m:r>
                                  <w:rPr>
                                    <w:rFonts w:ascii="Cambria Math" w:hAnsi="Cambria Math"/>
                                  </w:rPr>
                                  <m:t xml:space="preserve">τ</m:t>
                                </m:r>
                              </m:e>
                              <m:sub>
                                <m:r>
                                  <w:rPr>
                                    <w:rFonts w:ascii="Cambria Math" w:hAnsi="Cambria Math"/>
                                  </w:rPr>
                                  <m:t xml:space="preserve">n</m:t>
                                </m:r>
                              </m:sub>
                            </m:sSub>
                          </m:num>
                          <m:den>
                            <m:sSub>
                              <m:e>
                                <m:r>
                                  <w:rPr>
                                    <w:rFonts w:ascii="Cambria Math" w:hAnsi="Cambria Math"/>
                                  </w:rPr>
                                  <m:t xml:space="preserve">T</m:t>
                                </m:r>
                              </m:e>
                              <m:sub>
                                <m:r>
                                  <w:rPr>
                                    <w:rFonts w:ascii="Cambria Math" w:hAnsi="Cambria Math"/>
                                  </w:rPr>
                                  <m:t xml:space="preserve">s</m:t>
                                </m:r>
                              </m:sub>
                            </m:sSub>
                            <m:r>
                              <w:rPr>
                                <w:rFonts w:ascii="Cambria Math" w:hAnsi="Cambria Math"/>
                              </w:rPr>
                              <m:t xml:space="preserve">N</m:t>
                            </m:r>
                          </m:den>
                        </m:f>
                      </m:sup>
                    </m:sSup>
                  </m:e>
                </m:nary>
              </m:e>
            </m:d>
          </m:e>
          <m:sup>
            <m:r>
              <w:rPr>
                <w:rFonts w:ascii="Cambria Math" w:hAnsi="Cambria Math"/>
              </w:rPr>
              <m:t xml:space="preserve">2</m:t>
            </m:r>
          </m:sup>
        </m:sSup>
        <m:r>
          <w:rPr>
            <w:rFonts w:ascii="Cambria Math" w:hAnsi="Cambria Math"/>
          </w:rPr>
          <m:t xml:space="preserve">=</m:t>
        </m:r>
        <m:sSup>
          <m:e>
            <m:f>
              <m:num>
                <m:r>
                  <w:rPr>
                    <w:rFonts w:ascii="Cambria Math" w:hAnsi="Cambria Math"/>
                  </w:rPr>
                  <m:t xml:space="preserve">1</m:t>
                </m:r>
              </m:num>
              <m:den>
                <m:r>
                  <w:rPr>
                    <w:rFonts w:ascii="Cambria Math" w:hAnsi="Cambria Math"/>
                  </w:rPr>
                  <m:t xml:space="preserve">N</m:t>
                </m:r>
              </m:den>
            </m:f>
            <m:d>
              <m:dPr>
                <m:begChr m:val="|"/>
                <m:endChr m:val="|"/>
              </m:dPr>
              <m:e>
                <m:nary>
                  <m:naryPr>
                    <m:chr m:val="∑"/>
                  </m:naryPr>
                  <m:sub>
                    <m:r>
                      <w:rPr>
                        <w:rFonts w:ascii="Cambria Math" w:hAnsi="Cambria Math"/>
                      </w:rPr>
                      <m:t xml:space="preserve">k</m:t>
                    </m:r>
                    <m:r>
                      <w:rPr>
                        <w:rFonts w:ascii="Cambria Math" w:hAnsi="Cambria Math"/>
                      </w:rPr>
                      <m:t xml:space="preserve">=</m:t>
                    </m:r>
                    <m:r>
                      <w:rPr>
                        <w:rFonts w:ascii="Cambria Math" w:hAnsi="Cambria Math"/>
                      </w:rPr>
                      <m:t xml:space="preserve">1</m:t>
                    </m:r>
                  </m:sub>
                  <m:sup>
                    <m:sSub>
                      <m:e>
                        <m:r>
                          <w:rPr>
                            <w:rFonts w:ascii="Cambria Math" w:hAnsi="Cambria Math"/>
                          </w:rPr>
                          <m:t xml:space="preserve">N</m:t>
                        </m:r>
                      </m:e>
                      <m:sub>
                        <m:r>
                          <w:rPr>
                            <w:rFonts w:ascii="Cambria Math" w:hAnsi="Cambria Math"/>
                          </w:rPr>
                          <m:t xml:space="preserve">sc</m:t>
                        </m:r>
                      </m:sub>
                    </m:sSub>
                  </m:sup>
                  <m:e>
                    <m:r>
                      <w:rPr>
                        <w:rFonts w:ascii="Cambria Math" w:hAnsi="Cambria Math"/>
                      </w:rPr>
                      <m:t xml:space="preserve">H</m:t>
                    </m:r>
                    <m:d>
                      <m:dPr>
                        <m:begChr m:val="["/>
                        <m:endChr m:val="]"/>
                      </m:dPr>
                      <m:e>
                        <m:r>
                          <w:rPr>
                            <w:rFonts w:ascii="Cambria Math" w:hAnsi="Cambria Math"/>
                          </w:rPr>
                          <m:t xml:space="preserve">k</m:t>
                        </m:r>
                      </m:e>
                    </m:d>
                    <m:r>
                      <w:rPr>
                        <w:rFonts w:ascii="Cambria Math" w:hAnsi="Cambria Math"/>
                      </w:rPr>
                      <m:t xml:space="preserve">∗</m:t>
                    </m:r>
                    <m:sSup>
                      <m:e>
                        <m:r>
                          <w:rPr>
                            <w:rFonts w:ascii="Cambria Math" w:hAnsi="Cambria Math"/>
                          </w:rPr>
                          <m:t xml:space="preserve">e</m:t>
                        </m:r>
                      </m:e>
                      <m:sup>
                        <m:r>
                          <w:rPr>
                            <w:rFonts w:ascii="Cambria Math" w:hAnsi="Cambria Math"/>
                          </w:rPr>
                          <m:t xml:space="preserve">−</m:t>
                        </m:r>
                        <m:r>
                          <w:rPr>
                            <w:rFonts w:ascii="Cambria Math" w:hAnsi="Cambria Math"/>
                          </w:rPr>
                          <m:t xml:space="preserve">j</m:t>
                        </m:r>
                        <m:r>
                          <w:rPr>
                            <w:rFonts w:ascii="Cambria Math" w:hAnsi="Cambria Math"/>
                          </w:rPr>
                          <m:t xml:space="preserve">2</m:t>
                        </m:r>
                        <m:r>
                          <w:rPr>
                            <w:rFonts w:ascii="Cambria Math" w:hAnsi="Cambria Math"/>
                          </w:rPr>
                          <m:t xml:space="preserve">πk</m:t>
                        </m:r>
                        <m:sSub>
                          <m:e>
                            <m:r>
                              <w:rPr>
                                <w:rFonts w:ascii="Cambria Math" w:hAnsi="Cambria Math"/>
                              </w:rPr>
                              <m:t xml:space="preserve">τ</m:t>
                            </m:r>
                          </m:e>
                          <m:sub>
                            <m:r>
                              <w:rPr>
                                <w:rFonts w:ascii="Cambria Math" w:hAnsi="Cambria Math"/>
                              </w:rPr>
                              <m:t xml:space="preserve">n</m:t>
                            </m:r>
                          </m:sub>
                        </m:sSub>
                        <m:r>
                          <w:rPr>
                            <w:rFonts w:ascii="Cambria Math" w:hAnsi="Cambria Math"/>
                          </w:rPr>
                          <m:t xml:space="preserve">∆</m:t>
                        </m:r>
                        <m:r>
                          <w:rPr>
                            <w:rFonts w:ascii="Cambria Math" w:hAnsi="Cambria Math"/>
                          </w:rPr>
                          <m:t xml:space="preserve">f</m:t>
                        </m:r>
                      </m:sup>
                    </m:sSup>
                  </m:e>
                </m:nary>
              </m:e>
            </m:d>
          </m:e>
          <m:sup>
            <m:r>
              <w:rPr>
                <w:rFonts w:ascii="Cambria Math" w:hAnsi="Cambria Math"/>
              </w:rPr>
              <m:t xml:space="preserve">2</m:t>
            </m:r>
          </m:sup>
        </m:sSup>
      </m:oMath>
    </w:p>
    <w:p>
      <w:pPr>
        <w:pStyle w:val="Normal"/>
        <w:jc w:val="both"/>
        <w:rPr>
          <w:rFonts w:ascii="Times New Roman" w:hAnsi="Times New Roman"/>
          <w:sz w:val="24"/>
          <w:lang w:val="en-US" w:eastAsia="x-none"/>
        </w:rPr>
      </w:pPr>
      <w:r>
        <w:rPr>
          <w:rFonts w:ascii="Times New Roman" w:hAnsi="Times New Roman"/>
          <w:sz w:val="24"/>
          <w:lang w:val="en-US" w:eastAsia="x-none"/>
        </w:rPr>
        <w:t xml:space="preserve">where </w:t>
      </w:r>
      <w:r>
        <w:rPr>
          <w:rFonts w:ascii="Times New Roman" w:hAnsi="Times New Roman"/>
          <w:sz w:val="24"/>
          <w:lang w:val="en-US" w:eastAsia="x-none"/>
        </w:rPr>
      </w:r>
      <m:oMath xmlns:m="http://schemas.openxmlformats.org/officeDocument/2006/math">
        <m:sSub>
          <m:e>
            <m:r>
              <w:rPr>
                <w:rFonts w:ascii="Cambria Math" w:hAnsi="Cambria Math"/>
              </w:rPr>
              <m:t xml:space="preserve">τ</m:t>
            </m:r>
          </m:e>
          <m:sub>
            <m:r>
              <w:rPr>
                <w:rFonts w:ascii="Cambria Math" w:hAnsi="Cambria Math"/>
              </w:rPr>
              <m:t xml:space="preserve">n</m:t>
            </m:r>
          </m:sub>
        </m:sSub>
      </m:oMath>
      <w:r>
        <w:rPr>
          <w:rFonts w:ascii="Times New Roman" w:hAnsi="Times New Roman"/>
          <w:sz w:val="24"/>
          <w:lang w:val="en-US" w:eastAsia="x-none"/>
        </w:rPr>
        <w:t xml:space="preserve"> is the estimated delay for the certain path whose path-RSRP is being reported.</w:t>
      </w:r>
    </w:p>
    <w:p>
      <w:pPr>
        <w:pStyle w:val="Normal"/>
        <w:jc w:val="both"/>
        <w:rPr>
          <w:rFonts w:ascii="Times New Roman" w:hAnsi="Times New Roman"/>
          <w:sz w:val="24"/>
          <w:lang w:val="en-US" w:eastAsia="x-none"/>
        </w:rPr>
      </w:pPr>
      <w:r>
        <w:rPr>
          <w:rFonts w:ascii="Times New Roman" w:hAnsi="Times New Roman"/>
          <w:sz w:val="24"/>
          <w:lang w:val="en-US" w:eastAsia="x-none"/>
        </w:rPr>
        <w:t xml:space="preserve">This definition of the path-PRS-RSRP is based on the delay of the path in CIR and captures the effect of PRS-bandwidth </w:t>
      </w:r>
      <w:r>
        <w:rPr>
          <w:rFonts w:ascii="Times New Roman" w:hAnsi="Times New Roman"/>
          <w:sz w:val="24"/>
          <w:lang w:val="en-US" w:eastAsia="x-none"/>
        </w:rPr>
      </w:r>
      <m:oMath xmlns:m="http://schemas.openxmlformats.org/officeDocument/2006/math">
        <m:r>
          <w:rPr>
            <w:rFonts w:ascii="Cambria Math" w:hAnsi="Cambria Math"/>
          </w:rPr>
          <m:t xml:space="preserve">B</m:t>
        </m:r>
        <m:r>
          <w:rPr>
            <w:rFonts w:ascii="Cambria Math" w:hAnsi="Cambria Math"/>
          </w:rPr>
          <m:t xml:space="preserve">=</m:t>
        </m:r>
        <m:r>
          <w:rPr>
            <w:rFonts w:ascii="Cambria Math" w:hAnsi="Cambria Math"/>
          </w:rPr>
          <m:t xml:space="preserve">N</m:t>
        </m:r>
        <m:r>
          <w:rPr>
            <w:rFonts w:ascii="Cambria Math" w:hAnsi="Cambria Math"/>
          </w:rPr>
          <m:t xml:space="preserve">.</m:t>
        </m:r>
        <m:r>
          <w:rPr>
            <w:rFonts w:ascii="Cambria Math" w:hAnsi="Cambria Math"/>
          </w:rPr>
          <m:t xml:space="preserve">∆</m:t>
        </m:r>
        <m:r>
          <w:rPr>
            <w:rFonts w:ascii="Cambria Math" w:hAnsi="Cambria Math"/>
          </w:rPr>
          <m:t xml:space="preserve">f</m:t>
        </m:r>
      </m:oMath>
      <w:r>
        <w:rPr>
          <w:rFonts w:ascii="Times New Roman" w:hAnsi="Times New Roman"/>
          <w:sz w:val="24"/>
          <w:lang w:val="en-US" w:eastAsia="x-none"/>
        </w:rPr>
        <w:t>also.</w:t>
      </w:r>
    </w:p>
    <w:p>
      <w:pPr>
        <w:pStyle w:val="Normal"/>
        <w:pBdr>
          <w:bottom w:val="single" w:sz="4" w:space="1" w:color="00000A"/>
        </w:pBdr>
        <w:jc w:val="both"/>
        <w:rPr>
          <w:lang w:val="en-US" w:eastAsia="x-none"/>
        </w:rPr>
      </w:pPr>
      <w:r>
        <w:rPr>
          <w:lang w:val="en-US" w:eastAsia="x-none"/>
        </w:rPr>
      </w:r>
    </w:p>
    <w:p>
      <w:pPr>
        <w:pStyle w:val="Heading1"/>
        <w:numPr>
          <w:ilvl w:val="0"/>
          <w:numId w:val="4"/>
        </w:numPr>
        <w:rPr>
          <w:lang w:eastAsia="x-none"/>
        </w:rPr>
      </w:pPr>
      <w:r>
        <w:rPr>
          <w:lang w:eastAsia="x-none"/>
        </w:rPr>
        <w:t>Enhanced reporting for DL-AoD</w:t>
      </w:r>
    </w:p>
    <w:p>
      <w:pPr>
        <w:pStyle w:val="Normal"/>
        <w:jc w:val="both"/>
        <w:rPr>
          <w:rFonts w:ascii="Times New Roman" w:hAnsi="Times New Roman"/>
          <w:sz w:val="24"/>
          <w:lang w:val="en-US" w:eastAsia="x-none"/>
        </w:rPr>
      </w:pPr>
      <w:r>
        <mc:AlternateContent>
          <mc:Choice Requires="wpg">
            <w:drawing>
              <wp:anchor behindDoc="0" distT="0" distB="0" distL="114300" distR="114300" simplePos="0" locked="0" layoutInCell="1" allowOverlap="1" relativeHeight="6" wp14:anchorId="4F1BA9E4">
                <wp:simplePos x="0" y="0"/>
                <wp:positionH relativeFrom="column">
                  <wp:posOffset>571500</wp:posOffset>
                </wp:positionH>
                <wp:positionV relativeFrom="paragraph">
                  <wp:posOffset>1366520</wp:posOffset>
                </wp:positionV>
                <wp:extent cx="4192905" cy="3528695"/>
                <wp:effectExtent l="0" t="0" r="0" b="8890"/>
                <wp:wrapTopAndBottom/>
                <wp:docPr id="6" name="Group 267"/>
                <a:graphic xmlns:a="http://schemas.openxmlformats.org/drawingml/2006/main">
                  <a:graphicData uri="http://schemas.microsoft.com/office/word/2010/wordprocessingGroup">
                    <wpg:wgp>
                      <wpg:cNvGrpSpPr/>
                      <wpg:grpSpPr>
                        <a:xfrm>
                          <a:off x="0" y="0"/>
                          <a:ext cx="4192200" cy="3528000"/>
                        </a:xfrm>
                      </wpg:grpSpPr>
                      <pic:pic xmlns:pic="http://schemas.openxmlformats.org/drawingml/2006/picture">
                        <pic:nvPicPr>
                          <pic:cNvPr id="0" name="Picture 3" descr=""/>
                          <pic:cNvPicPr/>
                        </pic:nvPicPr>
                        <pic:blipFill>
                          <a:blip r:embed="rId2"/>
                          <a:stretch/>
                        </pic:blipFill>
                        <pic:spPr>
                          <a:xfrm>
                            <a:off x="12600" y="0"/>
                            <a:ext cx="4179600" cy="3371760"/>
                          </a:xfrm>
                          <a:prstGeom prst="rect">
                            <a:avLst/>
                          </a:prstGeom>
                          <a:ln>
                            <a:noFill/>
                          </a:ln>
                        </pic:spPr>
                      </pic:pic>
                      <wps:wsp>
                        <wps:cNvSpPr/>
                        <wps:spPr>
                          <a:xfrm>
                            <a:off x="0" y="3380760"/>
                            <a:ext cx="4179600" cy="147240"/>
                          </a:xfrm>
                          <a:prstGeom prst="rect">
                            <a:avLst/>
                          </a:prstGeom>
                          <a:solidFill>
                            <a:srgbClr val="ffffff"/>
                          </a:solidFill>
                          <a:ln>
                            <a:noFill/>
                          </a:ln>
                        </wps:spPr>
                        <wps:style>
                          <a:lnRef idx="0"/>
                          <a:fillRef idx="0"/>
                          <a:effectRef idx="0"/>
                          <a:fontRef idx="minor"/>
                        </wps:style>
                        <wps:txbx>
                          <w:txbxContent>
                            <w:p>
                              <w:pPr>
                                <w:overflowPunct w:val="false"/>
                                <w:spacing w:before="0" w:after="0" w:lineRule="auto" w:line="240"/>
                                <w:jc w:val="left"/>
                                <w:rPr/>
                              </w:pPr>
                              <w:r>
                                <w:rPr>
                                  <w:spacing w:val="0"/>
                                  <w:smallCaps w:val="false"/>
                                  <w:caps w:val="false"/>
                                  <w:iCs w:val="false"/>
                                  <w:bCs w:val="false"/>
                                  <w:szCs w:val="20"/>
                                  <w:vertAlign w:val="baseline"/>
                                  <w:position w:val="0"/>
                                  <w:sz w:val="20"/>
                                  <w:i w:val="false"/>
                                  <w:dstrike w:val="false"/>
                                  <w:strike w:val="false"/>
                                  <w:u w:val="none"/>
                                  <w:b w:val="false"/>
                                  <w:sz w:val="20"/>
                                  <w:rFonts w:cs="" w:cstheme="minorBidi" w:eastAsia="Calibri" w:ascii="Calibri" w:hAnsi="Calibri"/>
                                  <w:color w:val="000000"/>
                                  <w:lang w:val="en-US"/>
                                </w:rPr>
                                <w:t>Figure 1: Calculation of path-PRS-RSRP at a certain path-delay.</w:t>
                              </w:r>
                            </w:p>
                          </w:txbxContent>
                        </wps:txbx>
                        <wps:bodyPr lIns="0" rIns="0" tIns="0" bIns="0">
                          <a:spAutoFit/>
                        </wps:bodyPr>
                      </wps:wsp>
                    </wpg:wgp>
                  </a:graphicData>
                </a:graphic>
              </wp:anchor>
            </w:drawing>
          </mc:Choice>
          <mc:Fallback>
            <w:pict>
              <v:group id="shape_0" alt="Group 267" style="position:absolute;margin-left:45pt;margin-top:107.6pt;width:330.1pt;height:277.8pt" coordorigin="900,2152" coordsize="6602,5556">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Picture 3" stroked="f" style="position:absolute;left:920;top:2152;width:6581;height:5309" type="shapetype_75">
                  <v:imagedata r:id="rId2" o:detectmouseclick="t"/>
                  <w10:wrap type="none"/>
                  <v:stroke color="#3465a4" joinstyle="round" endcap="flat"/>
                </v:shape>
                <v:rect id="shape_0" fillcolor="white" stroked="f" style="position:absolute;left:900;top:7476;width:6581;height:231">
                  <v:textbox>
                    <w:txbxContent>
                      <w:p>
                        <w:pPr>
                          <w:overflowPunct w:val="false"/>
                          <w:spacing w:before="0" w:after="0" w:lineRule="auto" w:line="240"/>
                          <w:jc w:val="left"/>
                          <w:rPr/>
                        </w:pPr>
                        <w:r>
                          <w:rPr>
                            <w:spacing w:val="0"/>
                            <w:smallCaps w:val="false"/>
                            <w:caps w:val="false"/>
                            <w:iCs w:val="false"/>
                            <w:bCs w:val="false"/>
                            <w:szCs w:val="20"/>
                            <w:vertAlign w:val="baseline"/>
                            <w:position w:val="0"/>
                            <w:sz w:val="20"/>
                            <w:i w:val="false"/>
                            <w:dstrike w:val="false"/>
                            <w:strike w:val="false"/>
                            <w:u w:val="none"/>
                            <w:b w:val="false"/>
                            <w:sz w:val="20"/>
                            <w:rFonts w:cs="" w:cstheme="minorBidi" w:eastAsia="Calibri" w:ascii="Calibri" w:hAnsi="Calibri"/>
                            <w:color w:val="000000"/>
                            <w:lang w:val="en-US"/>
                          </w:rPr>
                          <w:t>Figure 1: Calculation of path-PRS-RSRP at a certain path-delay.</w:t>
                        </w:r>
                      </w:p>
                    </w:txbxContent>
                  </v:textbox>
                  <w10:wrap type="square"/>
                  <v:fill o:detectmouseclick="t" type="solid" color2="black"/>
                  <v:stroke color="#3465a4" joinstyle="round" endcap="flat"/>
                </v:rect>
              </v:group>
            </w:pict>
          </mc:Fallback>
        </mc:AlternateContent>
      </w:r>
      <w:r>
        <w:rPr>
          <w:rFonts w:ascii="Times New Roman" w:hAnsi="Times New Roman"/>
          <w:sz w:val="24"/>
          <w:lang w:val="en-US" w:eastAsia="x-none"/>
        </w:rPr>
        <w:t>The performance of DL-AoD can be significantly improved if the first arrival path (FAP) RSRP is also reported by the UE along with PRS RSRP. However, the characteristic of the paths (delay and path-power) in CIR keeps changing across the PRS-resources if the UE is mobile. The location management server (LMF) has no way to identify whether the path-PRS-RSRP reported across the different PRS-resources belongs to the same path or different paths if the delay information is not included in DL-AoD report. Hence, the UE should report the path-delay corresponding to the path-PRS-RSRP also in DL-AoD report.</w:t>
      </w:r>
    </w:p>
    <w:p>
      <w:pPr>
        <w:pStyle w:val="Normal"/>
        <w:jc w:val="both"/>
        <w:rPr>
          <w:rFonts w:ascii="Times New Roman" w:hAnsi="Times New Roman"/>
          <w:sz w:val="24"/>
          <w:lang w:val="en-US" w:eastAsia="x-none"/>
        </w:rPr>
      </w:pPr>
      <w:r>
        <w:rPr>
          <w:rFonts w:ascii="Times New Roman" w:hAnsi="Times New Roman"/>
          <w:b/>
          <w:bCs/>
          <w:sz w:val="24"/>
          <w:lang w:val="en-US" w:eastAsia="x-none"/>
        </w:rPr>
        <w:t>Observation-1</w:t>
      </w:r>
      <w:r>
        <w:rPr>
          <w:rFonts w:ascii="Times New Roman" w:hAnsi="Times New Roman"/>
          <w:sz w:val="24"/>
          <w:lang w:val="en-US" w:eastAsia="x-none"/>
        </w:rPr>
        <w:t xml:space="preserve">: The location management server (LMF) has no way to identify whether the path-PRS-RSRP reported across the different PRS-resources belongs to the same path or different paths if the corresponding path-delay information is not included in DL-AoD report. </w:t>
      </w:r>
    </w:p>
    <w:p>
      <w:pPr>
        <w:pStyle w:val="Normal"/>
        <w:jc w:val="both"/>
        <w:rPr>
          <w:rFonts w:ascii="Times New Roman" w:hAnsi="Times New Roman"/>
          <w:sz w:val="24"/>
          <w:lang w:val="en-US" w:eastAsia="x-none"/>
        </w:rPr>
      </w:pPr>
      <w:r>
        <w:rPr>
          <w:rFonts w:ascii="Times New Roman" w:hAnsi="Times New Roman"/>
          <w:b/>
          <w:bCs/>
          <w:sz w:val="24"/>
          <w:lang w:val="en-US" w:eastAsia="x-none"/>
        </w:rPr>
        <w:t>Proposal-3</w:t>
      </w:r>
      <w:r>
        <w:rPr>
          <w:rFonts w:ascii="Times New Roman" w:hAnsi="Times New Roman"/>
          <w:sz w:val="24"/>
          <w:lang w:val="en-US" w:eastAsia="x-none"/>
        </w:rPr>
        <w:t>: The UE should report the path-delay corresponding to the path-PRS-RSRP also in DL-AoD report.</w:t>
      </w:r>
    </w:p>
    <w:p>
      <w:pPr>
        <w:pStyle w:val="Normal"/>
        <w:jc w:val="both"/>
        <w:rPr/>
      </w:pPr>
      <w:r>
        <w:rPr>
          <w:rFonts w:ascii="Times New Roman" w:hAnsi="Times New Roman"/>
          <w:sz w:val="24"/>
          <w:lang w:val="en-US" w:eastAsia="x-none"/>
        </w:rPr>
        <w:t xml:space="preserve">Further to report the measurement overhead the path-PRS-RSRP can be normalized either with PRS-RSRP or with peak power of the CIR. In many cases, the power of a path calculated at certain delay is higher compared to the peak power if the CIR as shown in </w:t>
      </w:r>
      <w:r>
        <w:rPr>
          <w:rFonts w:ascii="Times New Roman" w:hAnsi="Times New Roman"/>
          <w:sz w:val="24"/>
          <w:lang w:val="en-US" w:eastAsia="x-none"/>
        </w:rPr>
        <w:fldChar w:fldCharType="begin"/>
      </w:r>
      <w:r>
        <w:rPr>
          <w:sz w:val="24"/>
          <w:rFonts w:ascii="Times New Roman" w:hAnsi="Times New Roman"/>
        </w:rPr>
        <w:instrText> REF _Ref83890963 \h </w:instrText>
      </w:r>
      <w:r>
        <w:rPr>
          <w:sz w:val="24"/>
          <w:rFonts w:ascii="Times New Roman" w:hAnsi="Times New Roman"/>
        </w:rPr>
        <w:fldChar w:fldCharType="separate"/>
      </w:r>
      <w:r>
        <w:rPr>
          <w:sz w:val="24"/>
          <w:rFonts w:ascii="Times New Roman" w:hAnsi="Times New Roman"/>
        </w:rPr>
        <w:t>Error: Reference source not found</w:t>
      </w:r>
      <w:r>
        <w:rPr>
          <w:sz w:val="24"/>
          <w:rFonts w:ascii="Times New Roman" w:hAnsi="Times New Roman"/>
        </w:rPr>
        <w:fldChar w:fldCharType="end"/>
      </w:r>
      <w:r>
        <w:rPr>
          <w:rFonts w:ascii="Times New Roman" w:hAnsi="Times New Roman"/>
          <w:sz w:val="24"/>
          <w:lang w:val="en-US" w:eastAsia="x-none"/>
        </w:rPr>
        <w:t>. This can complicate the path-PRS-RSRP reporting. However,  it is simpler to report path-PRS-RSRP relative to the PRS-RSRP.</w:t>
      </w:r>
    </w:p>
    <w:p>
      <w:pPr>
        <w:pStyle w:val="Normal"/>
        <w:jc w:val="both"/>
        <w:rPr>
          <w:lang w:val="en-US" w:eastAsia="x-none"/>
        </w:rPr>
      </w:pPr>
      <w:r>
        <w:rPr>
          <w:lang w:val="en-US" w:eastAsia="x-none"/>
        </w:rPr>
      </w:r>
    </w:p>
    <w:p>
      <w:pPr>
        <w:pStyle w:val="Normal"/>
        <w:pBdr>
          <w:bottom w:val="single" w:sz="4" w:space="1" w:color="00000A"/>
        </w:pBdr>
        <w:jc w:val="both"/>
        <w:rPr>
          <w:lang w:val="en-US" w:eastAsia="x-none"/>
        </w:rPr>
      </w:pPr>
      <w:r>
        <w:rPr>
          <w:lang w:val="en-US" w:eastAsia="x-none"/>
        </w:rPr>
      </w:r>
    </w:p>
    <w:p>
      <w:pPr>
        <w:pStyle w:val="Heading1"/>
        <w:numPr>
          <w:ilvl w:val="0"/>
          <w:numId w:val="4"/>
        </w:numPr>
        <w:jc w:val="both"/>
        <w:rPr>
          <w:lang w:eastAsia="x-none"/>
        </w:rPr>
      </w:pPr>
      <w:r>
        <w:rPr>
          <w:lang w:eastAsia="x-none"/>
        </w:rPr>
        <w:t>Additional gnodeB Beam information</w:t>
      </w:r>
    </w:p>
    <w:p>
      <w:pPr>
        <w:pStyle w:val="Normal"/>
        <w:pBdr>
          <w:bottom w:val="single" w:sz="4" w:space="1" w:color="00000A"/>
        </w:pBdr>
        <w:jc w:val="both"/>
        <w:rPr>
          <w:rFonts w:ascii="Times New Roman" w:hAnsi="Times New Roman"/>
          <w:sz w:val="24"/>
          <w:lang w:val="en-US" w:eastAsia="x-none"/>
        </w:rPr>
      </w:pPr>
      <w:r>
        <w:rPr>
          <w:rFonts w:ascii="Times New Roman" w:hAnsi="Times New Roman"/>
          <w:sz w:val="24"/>
          <w:lang w:val="en-US" w:eastAsia="x-none"/>
        </w:rPr>
        <w:t>The following agreement was reached in RAN1#105-e meeting:</w:t>
      </w:r>
    </w:p>
    <w:p>
      <w:pPr>
        <w:pStyle w:val="Normal"/>
        <w:pBdr>
          <w:bottom w:val="single" w:sz="4" w:space="1" w:color="00000A"/>
        </w:pBdr>
        <w:jc w:val="both"/>
        <w:rPr>
          <w:rFonts w:ascii="Times New Roman" w:hAnsi="Times New Roman"/>
          <w:sz w:val="24"/>
          <w:lang w:val="en-US" w:eastAsia="x-none"/>
        </w:rPr>
      </w:pPr>
      <w:r>
        <w:rPr>
          <w:rFonts w:ascii="Times New Roman" w:hAnsi="Times New Roman"/>
          <w:sz w:val="24"/>
          <w:lang w:val="en-US" w:eastAsia="x-none"/>
        </w:rPr>
      </w:r>
    </w:p>
    <w:tbl>
      <w:tblPr>
        <w:tblStyle w:val="TableGrid"/>
        <w:tblW w:w="9629" w:type="dxa"/>
        <w:jc w:val="left"/>
        <w:tblInd w:w="0" w:type="dxa"/>
        <w:tblCellMar>
          <w:top w:w="0" w:type="dxa"/>
          <w:left w:w="108" w:type="dxa"/>
          <w:bottom w:w="0" w:type="dxa"/>
          <w:right w:w="108" w:type="dxa"/>
        </w:tblCellMar>
        <w:tblLook w:lastRow="0" w:firstRow="1" w:lastColumn="0" w:firstColumn="1" w:val="04a0" w:noHBand="0" w:noVBand="1"/>
      </w:tblPr>
      <w:tblGrid>
        <w:gridCol w:w="9629"/>
      </w:tblGrid>
      <w:tr>
        <w:trPr/>
        <w:tc>
          <w:tcPr>
            <w:tcW w:w="9629" w:type="dxa"/>
            <w:tcBorders/>
            <w:shd w:fill="auto" w:val="clear"/>
          </w:tcPr>
          <w:p>
            <w:pPr>
              <w:pStyle w:val="Normal"/>
              <w:spacing w:lineRule="auto" w:line="252" w:before="0" w:after="160"/>
              <w:jc w:val="both"/>
              <w:rPr>
                <w:rFonts w:ascii="Times New Roman" w:hAnsi="Times New Roman" w:eastAsia="Calibri"/>
                <w:color w:val="000000" w:themeColor="text1"/>
                <w:sz w:val="24"/>
              </w:rPr>
            </w:pPr>
            <w:r>
              <w:rPr>
                <w:rFonts w:eastAsia="Calibri" w:ascii="Times New Roman" w:hAnsi="Times New Roman"/>
                <w:color w:val="000000" w:themeColor="text1"/>
                <w:sz w:val="24"/>
                <w:highlight w:val="green"/>
              </w:rPr>
              <w:t>Agreement:</w:t>
            </w:r>
          </w:p>
          <w:p>
            <w:pPr>
              <w:pStyle w:val="Normal"/>
              <w:spacing w:lineRule="auto" w:line="252" w:before="0" w:after="160"/>
              <w:jc w:val="both"/>
              <w:rPr>
                <w:rFonts w:ascii="Times New Roman" w:hAnsi="Times New Roman" w:eastAsia="Calibri"/>
                <w:color w:val="000000" w:themeColor="text1"/>
                <w:sz w:val="24"/>
              </w:rPr>
            </w:pPr>
            <w:r>
              <w:rPr>
                <w:rFonts w:eastAsia="Calibri" w:ascii="Times New Roman" w:hAnsi="Times New Roman"/>
                <w:color w:val="000000" w:themeColor="text1"/>
                <w:sz w:val="24"/>
              </w:rPr>
              <w:t>For the beam/antenna information to be optionally provided to the LMF by the gnodeB, select one or more of the following:</w:t>
            </w:r>
          </w:p>
          <w:p>
            <w:pPr>
              <w:pStyle w:val="Normal"/>
              <w:numPr>
                <w:ilvl w:val="0"/>
                <w:numId w:val="7"/>
              </w:numPr>
              <w:spacing w:lineRule="auto" w:line="252" w:before="0" w:after="160"/>
              <w:jc w:val="both"/>
              <w:rPr>
                <w:rFonts w:ascii="Times New Roman" w:hAnsi="Times New Roman" w:eastAsia="Calibri"/>
                <w:color w:val="000000" w:themeColor="text1"/>
                <w:sz w:val="24"/>
              </w:rPr>
            </w:pPr>
            <w:r>
              <w:rPr>
                <w:rFonts w:eastAsia="Calibri" w:ascii="Times New Roman" w:hAnsi="Times New Roman"/>
                <w:color w:val="000000" w:themeColor="text1"/>
                <w:sz w:val="24"/>
              </w:rPr>
              <w:t>Option 1: the gNB reports the antenna configuration including at least the following parameter:</w:t>
            </w:r>
          </w:p>
          <w:p>
            <w:pPr>
              <w:pStyle w:val="ListParagraph"/>
              <w:numPr>
                <w:ilvl w:val="1"/>
                <w:numId w:val="8"/>
              </w:numPr>
              <w:spacing w:lineRule="auto" w:line="252" w:before="0" w:after="160"/>
              <w:jc w:val="both"/>
              <w:rPr>
                <w:rFonts w:ascii="Times New Roman" w:hAnsi="Times New Roman" w:eastAsia="Calibri" w:cs="Times New Roman"/>
                <w:color w:val="000000" w:themeColor="text1"/>
              </w:rPr>
            </w:pPr>
            <w:r>
              <w:rPr>
                <w:rFonts w:cs="Times New Roman" w:ascii="Times New Roman" w:hAnsi="Times New Roman"/>
                <w:color w:val="000000" w:themeColor="text1"/>
              </w:rPr>
              <w:t xml:space="preserve">the number of antenna elements (vertical and horizontal) </w:t>
            </w:r>
          </w:p>
          <w:p>
            <w:pPr>
              <w:pStyle w:val="ListParagraph"/>
              <w:numPr>
                <w:ilvl w:val="1"/>
                <w:numId w:val="9"/>
              </w:numPr>
              <w:spacing w:lineRule="auto" w:line="252" w:before="0" w:after="160"/>
              <w:jc w:val="both"/>
              <w:rPr>
                <w:rFonts w:ascii="Times New Roman" w:hAnsi="Times New Roman" w:cs="Times New Roman"/>
                <w:color w:val="000000" w:themeColor="text1"/>
              </w:rPr>
            </w:pPr>
            <w:r>
              <w:rPr>
                <w:rFonts w:cs="Times New Roman" w:ascii="Times New Roman" w:hAnsi="Times New Roman"/>
                <w:color w:val="000000" w:themeColor="text1"/>
              </w:rPr>
              <w:t>antenna spacing dh and dv</w:t>
            </w:r>
          </w:p>
          <w:p>
            <w:pPr>
              <w:pStyle w:val="ListParagraph"/>
              <w:numPr>
                <w:ilvl w:val="1"/>
                <w:numId w:val="9"/>
              </w:numPr>
              <w:spacing w:lineRule="auto" w:line="252" w:before="0" w:after="160"/>
              <w:jc w:val="both"/>
              <w:rPr>
                <w:rFonts w:ascii="Times New Roman" w:hAnsi="Times New Roman" w:cs="Times New Roman"/>
                <w:color w:val="000000" w:themeColor="text1"/>
              </w:rPr>
            </w:pPr>
            <w:r>
              <w:rPr>
                <w:rFonts w:cs="Times New Roman" w:ascii="Times New Roman" w:hAnsi="Times New Roman"/>
                <w:color w:val="000000" w:themeColor="text1"/>
              </w:rPr>
              <w:t>FFS: For DFT-based beams,</w:t>
            </w:r>
            <w:r>
              <w:rPr>
                <w:rFonts w:cs="Times New Roman" w:ascii="Times New Roman" w:hAnsi="Times New Roman"/>
                <w:color w:val="000000" w:themeColor="text1"/>
                <w:u w:val="single"/>
              </w:rPr>
              <w:t xml:space="preserve"> </w:t>
            </w:r>
            <w:r>
              <w:rPr>
                <w:rFonts w:cs="Times New Roman" w:ascii="Times New Roman" w:hAnsi="Times New Roman"/>
                <w:color w:val="000000" w:themeColor="text1"/>
              </w:rPr>
              <w:t>precoder information for each PRS resource</w:t>
            </w:r>
          </w:p>
          <w:p>
            <w:pPr>
              <w:pStyle w:val="ListParagraph"/>
              <w:numPr>
                <w:ilvl w:val="2"/>
                <w:numId w:val="9"/>
              </w:numPr>
              <w:spacing w:lineRule="auto" w:line="252" w:before="0" w:after="160"/>
              <w:jc w:val="both"/>
              <w:rPr>
                <w:rFonts w:ascii="Times New Roman" w:hAnsi="Times New Roman" w:cs="Times New Roman"/>
                <w:color w:val="000000" w:themeColor="text1"/>
              </w:rPr>
            </w:pPr>
            <w:r>
              <w:rPr>
                <w:rFonts w:cs="Times New Roman" w:ascii="Times New Roman" w:hAnsi="Times New Roman"/>
                <w:color w:val="000000" w:themeColor="text1"/>
              </w:rPr>
              <w:t>Check whether the already reported boresight directions are sufficient, or whether more information is needed</w:t>
            </w:r>
          </w:p>
          <w:p>
            <w:pPr>
              <w:pStyle w:val="ListParagraph"/>
              <w:numPr>
                <w:ilvl w:val="1"/>
                <w:numId w:val="9"/>
              </w:numPr>
              <w:spacing w:lineRule="auto" w:line="252" w:before="0" w:after="160"/>
              <w:jc w:val="both"/>
              <w:rPr>
                <w:rFonts w:ascii="Times New Roman" w:hAnsi="Times New Roman" w:cs="Times New Roman"/>
                <w:color w:val="000000" w:themeColor="text1"/>
              </w:rPr>
            </w:pPr>
            <w:r>
              <w:rPr>
                <w:rFonts w:cs="Times New Roman" w:ascii="Times New Roman" w:hAnsi="Times New Roman"/>
                <w:color w:val="000000" w:themeColor="text1"/>
              </w:rPr>
              <w:t>FFS: Antenna Element pattern Information</w:t>
            </w:r>
          </w:p>
          <w:p>
            <w:pPr>
              <w:pStyle w:val="ListParagraph"/>
              <w:numPr>
                <w:ilvl w:val="2"/>
                <w:numId w:val="9"/>
              </w:numPr>
              <w:spacing w:lineRule="auto" w:line="252" w:before="0" w:after="160"/>
              <w:jc w:val="both"/>
              <w:rPr>
                <w:rFonts w:ascii="Times New Roman" w:hAnsi="Times New Roman" w:cs="Times New Roman"/>
                <w:color w:val="000000" w:themeColor="text1"/>
              </w:rPr>
            </w:pPr>
            <w:r>
              <w:rPr>
                <w:rFonts w:cs="Times New Roman" w:ascii="Times New Roman" w:hAnsi="Times New Roman"/>
                <w:color w:val="000000" w:themeColor="text1"/>
              </w:rPr>
              <w:t>FFS: Details</w:t>
            </w:r>
          </w:p>
          <w:p>
            <w:pPr>
              <w:pStyle w:val="ListParagraph"/>
              <w:numPr>
                <w:ilvl w:val="1"/>
                <w:numId w:val="9"/>
              </w:numPr>
              <w:spacing w:lineRule="auto" w:line="252" w:before="0" w:after="160"/>
              <w:jc w:val="both"/>
              <w:rPr>
                <w:rFonts w:ascii="Times New Roman" w:hAnsi="Times New Roman" w:cs="Times New Roman"/>
                <w:color w:val="000000" w:themeColor="text1"/>
              </w:rPr>
            </w:pPr>
            <w:r>
              <w:rPr>
                <w:rFonts w:cs="Times New Roman" w:ascii="Times New Roman" w:hAnsi="Times New Roman"/>
                <w:color w:val="000000" w:themeColor="text1"/>
              </w:rPr>
              <w:t>FFS: If additional information about panel/orientation is needed</w:t>
            </w:r>
          </w:p>
          <w:p>
            <w:pPr>
              <w:pStyle w:val="ListParagraph"/>
              <w:numPr>
                <w:ilvl w:val="0"/>
                <w:numId w:val="8"/>
              </w:numPr>
              <w:spacing w:lineRule="auto" w:line="252" w:before="0" w:after="160"/>
              <w:jc w:val="both"/>
              <w:rPr>
                <w:rFonts w:ascii="Times New Roman" w:hAnsi="Times New Roman" w:cs="Times New Roman"/>
                <w:color w:val="000000" w:themeColor="text1"/>
              </w:rPr>
            </w:pPr>
            <w:r>
              <w:rPr>
                <w:rFonts w:cs="Times New Roman" w:ascii="Times New Roman" w:hAnsi="Times New Roman"/>
                <w:color w:val="000000" w:themeColor="text1"/>
              </w:rPr>
              <w:t>Option 2: the gNB reports a mapping of angle and beam gains for each of the PRS resources.</w:t>
            </w:r>
          </w:p>
          <w:p>
            <w:pPr>
              <w:pStyle w:val="ListParagraph"/>
              <w:numPr>
                <w:ilvl w:val="1"/>
                <w:numId w:val="9"/>
              </w:numPr>
              <w:spacing w:lineRule="auto" w:line="252" w:before="0" w:after="160"/>
              <w:jc w:val="both"/>
              <w:rPr>
                <w:rFonts w:ascii="Times New Roman" w:hAnsi="Times New Roman" w:cs="Times New Roman"/>
                <w:color w:val="000000" w:themeColor="text1"/>
              </w:rPr>
            </w:pPr>
            <w:r>
              <w:rPr>
                <w:rFonts w:cs="Times New Roman" w:ascii="Times New Roman" w:hAnsi="Times New Roman"/>
                <w:color w:val="000000" w:themeColor="text1"/>
              </w:rPr>
              <w:t>FFS: representation of the mapping (e.g. parametric function approximating the beam response, or gain/angle table,</w:t>
            </w:r>
            <w:bookmarkStart w:id="2" w:name="OLE_LINK5"/>
            <w:r>
              <w:rPr>
                <w:rFonts w:cs="Times New Roman" w:ascii="Times New Roman" w:hAnsi="Times New Roman"/>
                <w:color w:val="000000" w:themeColor="text1"/>
              </w:rPr>
              <w:t xml:space="preserve"> beamwidth, intersection point of multiple beams (angle, RSRP) intersection point</w:t>
            </w:r>
            <w:bookmarkEnd w:id="2"/>
            <w:r>
              <w:rPr>
                <w:rFonts w:cs="Times New Roman" w:ascii="Times New Roman" w:hAnsi="Times New Roman"/>
                <w:color w:val="000000" w:themeColor="text1"/>
              </w:rPr>
              <w:t>)</w:t>
            </w:r>
          </w:p>
          <w:p>
            <w:pPr>
              <w:pStyle w:val="ListParagraph"/>
              <w:numPr>
                <w:ilvl w:val="0"/>
                <w:numId w:val="8"/>
              </w:numPr>
              <w:spacing w:lineRule="auto" w:line="252" w:before="0" w:after="160"/>
              <w:jc w:val="both"/>
              <w:rPr>
                <w:rFonts w:ascii="Times New Roman" w:hAnsi="Times New Roman" w:cs="Times New Roman"/>
                <w:color w:val="000000" w:themeColor="text1"/>
              </w:rPr>
            </w:pPr>
            <w:r>
              <w:rPr>
                <w:rFonts w:cs="Times New Roman" w:ascii="Times New Roman" w:hAnsi="Times New Roman"/>
                <w:color w:val="000000" w:themeColor="text1"/>
              </w:rPr>
              <w:t>Other options are not precluded</w:t>
            </w:r>
          </w:p>
          <w:p>
            <w:pPr>
              <w:pStyle w:val="ListParagraph"/>
              <w:numPr>
                <w:ilvl w:val="0"/>
                <w:numId w:val="8"/>
              </w:numPr>
              <w:spacing w:lineRule="auto" w:line="252" w:before="0" w:after="160"/>
              <w:jc w:val="both"/>
              <w:rPr>
                <w:rFonts w:cs="Times"/>
              </w:rPr>
            </w:pPr>
            <w:r>
              <w:rPr>
                <w:rFonts w:cs="Times New Roman" w:ascii="Times New Roman" w:hAnsi="Times New Roman"/>
                <w:color w:val="000000" w:themeColor="text1"/>
              </w:rPr>
              <w:t>In either option, the gNB beam/antenna information can optionally be provided to the UE by the LMF for UE-based DL-AoD</w:t>
            </w:r>
          </w:p>
        </w:tc>
      </w:tr>
    </w:tbl>
    <w:p>
      <w:pPr>
        <w:pStyle w:val="Normal"/>
        <w:pBdr>
          <w:bottom w:val="single" w:sz="4" w:space="1" w:color="00000A"/>
        </w:pBdr>
        <w:jc w:val="both"/>
        <w:rPr>
          <w:rFonts w:ascii="Times New Roman" w:hAnsi="Times New Roman"/>
          <w:sz w:val="24"/>
          <w:lang w:val="en-US" w:eastAsia="x-none"/>
        </w:rPr>
      </w:pPr>
      <w:r>
        <w:rPr>
          <w:rFonts w:ascii="Times New Roman" w:hAnsi="Times New Roman"/>
          <w:sz w:val="24"/>
          <w:lang w:val="en-US" w:eastAsia="x-none"/>
        </w:rPr>
      </w:r>
    </w:p>
    <w:p>
      <w:pPr>
        <w:pStyle w:val="Normal"/>
        <w:pBdr>
          <w:bottom w:val="single" w:sz="4" w:space="1" w:color="00000A"/>
        </w:pBdr>
        <w:jc w:val="both"/>
        <w:rPr/>
      </w:pPr>
      <w:r>
        <w:rPr>
          <w:rFonts w:ascii="Times New Roman" w:hAnsi="Times New Roman"/>
          <w:sz w:val="24"/>
          <w:lang w:val="en-US" w:eastAsia="x-none"/>
        </w:rPr>
        <w:t>The option-2 has already been agreed in RAN1#106-e meeting. The option-1 and option-2 are not competing proposals. The option-1 provides the useful information to the UE regarding the PRS transmit beam specially for DFT based beam-forming. Hence, atleast (</w:t>
      </w:r>
      <w:r>
        <w:rPr>
          <w:rFonts w:ascii="Times New Roman" w:hAnsi="Times New Roman"/>
          <w:sz w:val="24"/>
          <w:lang w:val="en-US" w:eastAsia="x-none"/>
        </w:rPr>
      </w:r>
      <m:oMath xmlns:m="http://schemas.openxmlformats.org/officeDocument/2006/math">
        <m:sSub>
          <m:e>
            <m:r>
              <w:rPr>
                <w:rFonts w:ascii="Cambria Math" w:hAnsi="Cambria Math"/>
              </w:rPr>
              <m:t xml:space="preserve">N</m:t>
            </m:r>
          </m:e>
          <m:sub>
            <m:r>
              <w:rPr>
                <w:rFonts w:ascii="Cambria Math" w:hAnsi="Cambria Math"/>
              </w:rPr>
              <m:t xml:space="preserve">v</m:t>
            </m:r>
          </m:sub>
        </m:sSub>
        <m:r>
          <w:rPr>
            <w:rFonts w:ascii="Cambria Math" w:hAnsi="Cambria Math"/>
          </w:rPr>
          <m:t xml:space="preserve">,</m:t>
        </m:r>
        <m:sSub>
          <m:e>
            <m:r>
              <w:rPr>
                <w:rFonts w:ascii="Cambria Math" w:hAnsi="Cambria Math"/>
              </w:rPr>
              <m:t xml:space="preserve">N</m:t>
            </m:r>
          </m:e>
          <m:sub>
            <m:r>
              <w:rPr>
                <w:rFonts w:ascii="Cambria Math" w:hAnsi="Cambria Math"/>
              </w:rPr>
              <m:t xml:space="preserve">h</m:t>
            </m:r>
          </m:sub>
        </m:sSub>
      </m:oMath>
      <w:r>
        <w:rPr>
          <w:rFonts w:ascii="Times New Roman" w:hAnsi="Times New Roman"/>
          <w:sz w:val="24"/>
          <w:lang w:val="en-US" w:eastAsia="x-none"/>
        </w:rPr>
        <w:t>) the number of antennas, along horizontal and vertical, (</w:t>
      </w:r>
      <w:r>
        <w:rPr>
          <w:rFonts w:ascii="Times New Roman" w:hAnsi="Times New Roman"/>
          <w:sz w:val="24"/>
          <w:lang w:val="en-US" w:eastAsia="x-none"/>
        </w:rPr>
      </w:r>
      <m:oMath xmlns:m="http://schemas.openxmlformats.org/officeDocument/2006/math">
        <m:sSub>
          <m:e>
            <m:r>
              <w:rPr>
                <w:rFonts w:ascii="Cambria Math" w:hAnsi="Cambria Math"/>
              </w:rPr>
              <m:t xml:space="preserve">d</m:t>
            </m:r>
          </m:e>
          <m:sub>
            <m:r>
              <w:rPr>
                <w:rFonts w:ascii="Cambria Math" w:hAnsi="Cambria Math"/>
              </w:rPr>
              <m:t xml:space="preserve">v</m:t>
            </m:r>
          </m:sub>
        </m:sSub>
        <m:r>
          <w:rPr>
            <w:rFonts w:ascii="Cambria Math" w:hAnsi="Cambria Math"/>
          </w:rPr>
          <m:t xml:space="preserve">,</m:t>
        </m:r>
        <m:sSub>
          <m:e>
            <m:r>
              <w:rPr>
                <w:rFonts w:ascii="Cambria Math" w:hAnsi="Cambria Math"/>
              </w:rPr>
              <m:t xml:space="preserve">d</m:t>
            </m:r>
          </m:e>
          <m:sub>
            <m:r>
              <w:rPr>
                <w:rFonts w:ascii="Cambria Math" w:hAnsi="Cambria Math"/>
              </w:rPr>
              <m:t xml:space="preserve">h</m:t>
            </m:r>
          </m:sub>
        </m:sSub>
      </m:oMath>
      <w:r>
        <w:rPr>
          <w:rFonts w:ascii="Times New Roman" w:hAnsi="Times New Roman"/>
          <w:sz w:val="24"/>
          <w:lang w:val="en-US" w:eastAsia="x-none"/>
        </w:rPr>
        <w:t>) inter-element spacing along horizontal and vertical, (</w:t>
      </w:r>
      <w:r>
        <w:rPr>
          <w:rFonts w:ascii="Times New Roman" w:hAnsi="Times New Roman"/>
          <w:sz w:val="24"/>
          <w:lang w:val="en-US" w:eastAsia="x-none"/>
        </w:rPr>
      </w:r>
      <m:oMath xmlns:m="http://schemas.openxmlformats.org/officeDocument/2006/math">
        <m:sSub>
          <m:e>
            <m:r>
              <w:rPr>
                <w:rFonts w:ascii="Cambria Math" w:hAnsi="Cambria Math"/>
              </w:rPr>
              <m:t xml:space="preserve">ϕ</m:t>
            </m:r>
          </m:e>
          <m:sub>
            <m:r>
              <w:rPr>
                <w:rFonts w:ascii="Cambria Math" w:hAnsi="Cambria Math"/>
              </w:rPr>
              <m:t xml:space="preserve">AoD</m:t>
            </m:r>
          </m:sub>
        </m:sSub>
        <m:r>
          <w:rPr>
            <w:rFonts w:ascii="Cambria Math" w:hAnsi="Cambria Math"/>
          </w:rPr>
          <m:t xml:space="preserve">,</m:t>
        </m:r>
        <m:sSub>
          <m:e>
            <m:r>
              <w:rPr>
                <w:rFonts w:ascii="Cambria Math" w:hAnsi="Cambria Math"/>
              </w:rPr>
              <m:t xml:space="preserve">θ</m:t>
            </m:r>
          </m:e>
          <m:sub>
            <m:r>
              <w:rPr>
                <w:rFonts w:ascii="Cambria Math" w:hAnsi="Cambria Math"/>
              </w:rPr>
              <m:t xml:space="preserve">AoD</m:t>
            </m:r>
          </m:sub>
        </m:sSub>
      </m:oMath>
      <w:r>
        <w:rPr>
          <w:rFonts w:ascii="Times New Roman" w:hAnsi="Times New Roman"/>
          <w:sz w:val="24"/>
          <w:lang w:val="en-US" w:eastAsia="x-none"/>
        </w:rPr>
        <w:t>)  the boresight AoD and boresight ZoD respectively should be provided to the UE as the beam assitance information.</w:t>
      </w:r>
    </w:p>
    <w:p>
      <w:pPr>
        <w:pStyle w:val="Normal"/>
        <w:pBdr>
          <w:bottom w:val="single" w:sz="4" w:space="1" w:color="00000A"/>
        </w:pBdr>
        <w:jc w:val="both"/>
        <w:rPr>
          <w:rFonts w:ascii="Times New Roman" w:hAnsi="Times New Roman"/>
          <w:sz w:val="24"/>
          <w:lang w:val="en-US" w:eastAsia="x-none"/>
        </w:rPr>
      </w:pPr>
      <w:r>
        <w:rPr>
          <w:rFonts w:ascii="Times New Roman" w:hAnsi="Times New Roman"/>
          <w:sz w:val="24"/>
          <w:lang w:val="en-US" w:eastAsia="x-none"/>
        </w:rPr>
      </w:r>
    </w:p>
    <w:p>
      <w:pPr>
        <w:pStyle w:val="Normal"/>
        <w:pBdr>
          <w:bottom w:val="single" w:sz="4" w:space="1" w:color="00000A"/>
        </w:pBdr>
        <w:jc w:val="both"/>
        <w:rPr>
          <w:rFonts w:ascii="Times New Roman" w:hAnsi="Times New Roman"/>
          <w:sz w:val="24"/>
          <w:lang w:val="en-US" w:eastAsia="x-none"/>
        </w:rPr>
      </w:pPr>
      <w:r>
        <w:rPr>
          <w:rFonts w:ascii="Times New Roman" w:hAnsi="Times New Roman"/>
          <w:b/>
          <w:bCs/>
          <w:sz w:val="24"/>
          <w:lang w:val="en-US" w:eastAsia="x-none"/>
        </w:rPr>
        <w:t>Proposal-4:</w:t>
      </w:r>
      <w:r>
        <w:rPr>
          <w:rFonts w:ascii="Times New Roman" w:hAnsi="Times New Roman"/>
          <w:sz w:val="24"/>
          <w:lang w:val="en-US" w:eastAsia="x-none"/>
        </w:rPr>
        <w:t xml:space="preserve"> For additional gNodeB beam information to UE, option-1 should also be supported along with option-2.</w:t>
      </w:r>
    </w:p>
    <w:p>
      <w:pPr>
        <w:pStyle w:val="Normal"/>
        <w:pBdr>
          <w:bottom w:val="single" w:sz="4" w:space="1" w:color="00000A"/>
        </w:pBdr>
        <w:jc w:val="both"/>
        <w:rPr>
          <w:rFonts w:ascii="Times New Roman" w:hAnsi="Times New Roman"/>
          <w:sz w:val="24"/>
          <w:lang w:val="en-US" w:eastAsia="x-none"/>
        </w:rPr>
      </w:pPr>
      <w:r>
        <w:rPr>
          <w:rFonts w:ascii="Times New Roman" w:hAnsi="Times New Roman"/>
          <w:b/>
          <w:bCs/>
          <w:sz w:val="24"/>
          <w:lang w:val="en-US" w:eastAsia="x-none"/>
        </w:rPr>
        <w:t>Proposal-5:</w:t>
      </w:r>
      <w:r>
        <w:rPr>
          <w:rFonts w:ascii="Times New Roman" w:hAnsi="Times New Roman"/>
          <w:sz w:val="24"/>
          <w:lang w:val="en-US" w:eastAsia="x-none"/>
        </w:rPr>
        <w:t xml:space="preserve"> Aleast (</w:t>
      </w:r>
      <w:r>
        <w:rPr>
          <w:rFonts w:ascii="Times New Roman" w:hAnsi="Times New Roman"/>
          <w:sz w:val="24"/>
          <w:lang w:val="en-US" w:eastAsia="x-none"/>
        </w:rPr>
      </w:r>
      <m:oMath xmlns:m="http://schemas.openxmlformats.org/officeDocument/2006/math">
        <m:sSub>
          <m:e>
            <m:r>
              <w:rPr>
                <w:rFonts w:ascii="Cambria Math" w:hAnsi="Cambria Math"/>
              </w:rPr>
              <m:t xml:space="preserve">N</m:t>
            </m:r>
          </m:e>
          <m:sub>
            <m:r>
              <w:rPr>
                <w:rFonts w:ascii="Cambria Math" w:hAnsi="Cambria Math"/>
              </w:rPr>
              <m:t xml:space="preserve">v</m:t>
            </m:r>
          </m:sub>
        </m:sSub>
        <m:r>
          <w:rPr>
            <w:rFonts w:ascii="Cambria Math" w:hAnsi="Cambria Math"/>
          </w:rPr>
          <m:t xml:space="preserve">,</m:t>
        </m:r>
        <m:sSub>
          <m:e>
            <m:r>
              <w:rPr>
                <w:rFonts w:ascii="Cambria Math" w:hAnsi="Cambria Math"/>
              </w:rPr>
              <m:t xml:space="preserve">N</m:t>
            </m:r>
          </m:e>
          <m:sub>
            <m:r>
              <w:rPr>
                <w:rFonts w:ascii="Cambria Math" w:hAnsi="Cambria Math"/>
              </w:rPr>
              <m:t xml:space="preserve">h</m:t>
            </m:r>
          </m:sub>
        </m:sSub>
      </m:oMath>
      <w:r>
        <w:rPr>
          <w:rFonts w:ascii="Times New Roman" w:hAnsi="Times New Roman"/>
          <w:sz w:val="24"/>
          <w:lang w:val="en-US" w:eastAsia="x-none"/>
        </w:rPr>
        <w:t>) the number of antennas, along horizontal and vertical, (</w:t>
      </w:r>
      <w:r>
        <w:rPr>
          <w:rFonts w:ascii="Times New Roman" w:hAnsi="Times New Roman"/>
          <w:sz w:val="24"/>
          <w:lang w:val="en-US" w:eastAsia="x-none"/>
        </w:rPr>
      </w:r>
      <m:oMath xmlns:m="http://schemas.openxmlformats.org/officeDocument/2006/math">
        <m:sSub>
          <m:e>
            <m:r>
              <w:rPr>
                <w:rFonts w:ascii="Cambria Math" w:hAnsi="Cambria Math"/>
              </w:rPr>
              <m:t xml:space="preserve">d</m:t>
            </m:r>
          </m:e>
          <m:sub>
            <m:r>
              <w:rPr>
                <w:rFonts w:ascii="Cambria Math" w:hAnsi="Cambria Math"/>
              </w:rPr>
              <m:t xml:space="preserve">v</m:t>
            </m:r>
          </m:sub>
        </m:sSub>
        <m:r>
          <w:rPr>
            <w:rFonts w:ascii="Cambria Math" w:hAnsi="Cambria Math"/>
          </w:rPr>
          <m:t xml:space="preserve">,</m:t>
        </m:r>
        <m:sSub>
          <m:e>
            <m:r>
              <w:rPr>
                <w:rFonts w:ascii="Cambria Math" w:hAnsi="Cambria Math"/>
              </w:rPr>
              <m:t xml:space="preserve">d</m:t>
            </m:r>
          </m:e>
          <m:sub>
            <m:r>
              <w:rPr>
                <w:rFonts w:ascii="Cambria Math" w:hAnsi="Cambria Math"/>
              </w:rPr>
              <m:t xml:space="preserve">h</m:t>
            </m:r>
          </m:sub>
        </m:sSub>
      </m:oMath>
      <w:r>
        <w:rPr>
          <w:rFonts w:ascii="Times New Roman" w:hAnsi="Times New Roman"/>
          <w:sz w:val="24"/>
          <w:lang w:val="en-US" w:eastAsia="x-none"/>
        </w:rPr>
        <w:t>) inter-element spacing along horizontal and vertical, (</w:t>
      </w:r>
      <w:r>
        <w:rPr>
          <w:rFonts w:ascii="Times New Roman" w:hAnsi="Times New Roman"/>
          <w:sz w:val="24"/>
          <w:lang w:val="en-US" w:eastAsia="x-none"/>
        </w:rPr>
      </w:r>
      <m:oMath xmlns:m="http://schemas.openxmlformats.org/officeDocument/2006/math">
        <m:sSub>
          <m:e>
            <m:r>
              <w:rPr>
                <w:rFonts w:ascii="Cambria Math" w:hAnsi="Cambria Math"/>
              </w:rPr>
              <m:t xml:space="preserve">ϕ</m:t>
            </m:r>
          </m:e>
          <m:sub>
            <m:r>
              <w:rPr>
                <w:rFonts w:ascii="Cambria Math" w:hAnsi="Cambria Math"/>
              </w:rPr>
              <m:t xml:space="preserve">AoD</m:t>
            </m:r>
          </m:sub>
        </m:sSub>
        <m:r>
          <w:rPr>
            <w:rFonts w:ascii="Cambria Math" w:hAnsi="Cambria Math"/>
          </w:rPr>
          <m:t xml:space="preserve">,</m:t>
        </m:r>
        <m:sSub>
          <m:e>
            <m:r>
              <w:rPr>
                <w:rFonts w:ascii="Cambria Math" w:hAnsi="Cambria Math"/>
              </w:rPr>
              <m:t xml:space="preserve">θ</m:t>
            </m:r>
          </m:e>
          <m:sub>
            <m:r>
              <w:rPr>
                <w:rFonts w:ascii="Cambria Math" w:hAnsi="Cambria Math"/>
              </w:rPr>
              <m:t xml:space="preserve">AoD</m:t>
            </m:r>
          </m:sub>
        </m:sSub>
      </m:oMath>
      <w:r>
        <w:rPr>
          <w:rFonts w:ascii="Times New Roman" w:hAnsi="Times New Roman"/>
          <w:sz w:val="24"/>
          <w:lang w:val="en-US" w:eastAsia="x-none"/>
        </w:rPr>
        <w:t>)  the boresight AoD and boresight ZoD respectively should be provided to the UE as the beam assitance information.</w:t>
      </w:r>
    </w:p>
    <w:p>
      <w:pPr>
        <w:pStyle w:val="Heading1"/>
        <w:numPr>
          <w:ilvl w:val="0"/>
          <w:numId w:val="4"/>
        </w:numPr>
        <w:jc w:val="both"/>
        <w:rPr>
          <w:lang w:eastAsia="x-none"/>
        </w:rPr>
      </w:pPr>
      <w:r>
        <w:rPr>
          <w:lang w:eastAsia="x-none"/>
        </w:rPr>
        <w:t xml:space="preserve">UE-FAP-AoA reporting </w:t>
      </w:r>
    </w:p>
    <w:p>
      <w:pPr>
        <w:pStyle w:val="Normal"/>
        <w:jc w:val="both"/>
        <w:rPr>
          <w:sz w:val="24"/>
          <w:szCs w:val="32"/>
          <w:lang w:val="en-US" w:eastAsia="x-none"/>
        </w:rPr>
      </w:pPr>
      <w:r>
        <mc:AlternateContent>
          <mc:Choice Requires="wpg">
            <w:drawing>
              <wp:anchor behindDoc="0" distT="0" distB="0" distL="114300" distR="114300" simplePos="0" locked="0" layoutInCell="1" allowOverlap="1" relativeHeight="7" wp14:anchorId="386B128C">
                <wp:simplePos x="0" y="0"/>
                <wp:positionH relativeFrom="column">
                  <wp:posOffset>628650</wp:posOffset>
                </wp:positionH>
                <wp:positionV relativeFrom="paragraph">
                  <wp:posOffset>1333500</wp:posOffset>
                </wp:positionV>
                <wp:extent cx="4702175" cy="3458210"/>
                <wp:effectExtent l="0" t="0" r="5080" b="2540"/>
                <wp:wrapTopAndBottom/>
                <wp:docPr id="7" name="Group 266"/>
                <a:graphic xmlns:a="http://schemas.openxmlformats.org/drawingml/2006/main">
                  <a:graphicData uri="http://schemas.microsoft.com/office/word/2010/wordprocessingGroup">
                    <wpg:wgp>
                      <wpg:cNvGrpSpPr/>
                      <wpg:grpSpPr>
                        <a:xfrm>
                          <a:off x="0" y="0"/>
                          <a:ext cx="4701600" cy="3457440"/>
                        </a:xfrm>
                      </wpg:grpSpPr>
                      <pic:pic xmlns:pic="http://schemas.openxmlformats.org/drawingml/2006/picture">
                        <pic:nvPicPr>
                          <pic:cNvPr id="1" name="Graphic 264" descr=""/>
                          <pic:cNvPicPr/>
                        </pic:nvPicPr>
                        <pic:blipFill>
                          <a:blip r:embed="rId3"/>
                          <a:stretch/>
                        </pic:blipFill>
                        <pic:spPr>
                          <a:xfrm>
                            <a:off x="0" y="0"/>
                            <a:ext cx="4619160" cy="3375720"/>
                          </a:xfrm>
                          <a:prstGeom prst="rect">
                            <a:avLst/>
                          </a:prstGeom>
                          <a:ln>
                            <a:noFill/>
                          </a:ln>
                        </pic:spPr>
                      </pic:pic>
                      <wps:wsp>
                        <wps:cNvSpPr/>
                        <wps:spPr>
                          <a:xfrm>
                            <a:off x="82440" y="3310200"/>
                            <a:ext cx="4619160" cy="147240"/>
                          </a:xfrm>
                          <a:prstGeom prst="rect">
                            <a:avLst/>
                          </a:prstGeom>
                          <a:solidFill>
                            <a:srgbClr val="ffffff"/>
                          </a:solidFill>
                          <a:ln>
                            <a:noFill/>
                          </a:ln>
                        </wps:spPr>
                        <wps:style>
                          <a:lnRef idx="0"/>
                          <a:fillRef idx="0"/>
                          <a:effectRef idx="0"/>
                          <a:fontRef idx="minor"/>
                        </wps:style>
                        <wps:txbx>
                          <w:txbxContent>
                            <w:p>
                              <w:pPr>
                                <w:overflowPunct w:val="false"/>
                                <w:spacing w:before="0" w:after="0" w:lineRule="auto" w:line="240"/>
                                <w:jc w:val="left"/>
                                <w:rPr/>
                              </w:pPr>
                              <w:r>
                                <w:rPr>
                                  <w:spacing w:val="0"/>
                                  <w:smallCaps w:val="false"/>
                                  <w:caps w:val="false"/>
                                  <w:iCs w:val="false"/>
                                  <w:bCs w:val="false"/>
                                  <w:szCs w:val="20"/>
                                  <w:vertAlign w:val="baseline"/>
                                  <w:position w:val="0"/>
                                  <w:sz w:val="20"/>
                                  <w:i w:val="false"/>
                                  <w:dstrike w:val="false"/>
                                  <w:strike w:val="false"/>
                                  <w:u w:val="none"/>
                                  <w:b w:val="false"/>
                                  <w:sz w:val="20"/>
                                  <w:rFonts w:cs="" w:cstheme="minorBidi" w:eastAsia="Calibri" w:ascii="Calibri" w:hAnsi="Calibri"/>
                                  <w:color w:val="000000"/>
                                  <w:lang w:val="en-US"/>
                                </w:rPr>
                                <w:t>Figure 2: 2D illustration of UE-FAP-AoA and orientation estimation</w:t>
                              </w:r>
                            </w:p>
                          </w:txbxContent>
                        </wps:txbx>
                        <wps:bodyPr lIns="0" rIns="0" tIns="0" bIns="0">
                          <a:spAutoFit/>
                        </wps:bodyPr>
                      </wps:wsp>
                    </wpg:wgp>
                  </a:graphicData>
                </a:graphic>
              </wp:anchor>
            </w:drawing>
          </mc:Choice>
          <mc:Fallback>
            <w:pict>
              <v:group id="shape_0" alt="Group 266" style="position:absolute;margin-left:49.5pt;margin-top:105pt;width:370.2pt;height:272.25pt" coordorigin="990,2100" coordsize="7404,5445">
                <v:shape id="shape_0" ID="Graphic 264" stroked="f" style="position:absolute;left:990;top:2100;width:7273;height:5315" type="shapetype_75">
                  <v:imagedata r:id="rId3" o:detectmouseclick="t"/>
                  <w10:wrap type="none"/>
                  <v:stroke color="#3465a4" joinstyle="round" endcap="flat"/>
                </v:shape>
                <v:rect id="shape_0" fillcolor="white" stroked="f" style="position:absolute;left:1120;top:7313;width:7273;height:231">
                  <v:textbox>
                    <w:txbxContent>
                      <w:p>
                        <w:pPr>
                          <w:overflowPunct w:val="false"/>
                          <w:spacing w:before="0" w:after="0" w:lineRule="auto" w:line="240"/>
                          <w:jc w:val="left"/>
                          <w:rPr/>
                        </w:pPr>
                        <w:r>
                          <w:rPr>
                            <w:spacing w:val="0"/>
                            <w:smallCaps w:val="false"/>
                            <w:caps w:val="false"/>
                            <w:iCs w:val="false"/>
                            <w:bCs w:val="false"/>
                            <w:szCs w:val="20"/>
                            <w:vertAlign w:val="baseline"/>
                            <w:position w:val="0"/>
                            <w:sz w:val="20"/>
                            <w:i w:val="false"/>
                            <w:dstrike w:val="false"/>
                            <w:strike w:val="false"/>
                            <w:u w:val="none"/>
                            <w:b w:val="false"/>
                            <w:sz w:val="20"/>
                            <w:rFonts w:cs="" w:cstheme="minorBidi" w:eastAsia="Calibri" w:ascii="Calibri" w:hAnsi="Calibri"/>
                            <w:color w:val="000000"/>
                            <w:lang w:val="en-US"/>
                          </w:rPr>
                          <w:t>Figure 2: 2D illustration of UE-FAP-AoA and orientation estimation</w:t>
                        </w:r>
                      </w:p>
                    </w:txbxContent>
                  </v:textbox>
                  <w10:wrap type="square"/>
                  <v:fill o:detectmouseclick="t" type="solid" color2="black"/>
                  <v:stroke color="#3465a4" joinstyle="round" endcap="flat"/>
                </v:rect>
              </v:group>
            </w:pict>
          </mc:Fallback>
        </mc:AlternateContent>
      </w:r>
      <w:r>
        <w:rPr>
          <w:sz w:val="24"/>
          <w:szCs w:val="32"/>
          <w:lang w:val="en-US" w:eastAsia="x-none"/>
        </w:rPr>
        <w:t>The state of the link (LOS/NLOS) can be estimated accurately if the angle of arrival of first arrival path at the UE (UE-FAP-AoA) is available at the LMF for the UE-assisted positioning or the at the UE for UE-based positioning. The UE-FAP-AoA can be estimated accurately for UEs with &gt;=16 antennas which is reasonable to assume at-least for FR2. However, for UE-FAP-AoA measurements to be relevant, these measurements should either be reported in global co-ordinate system (GCS) or the local co-ordinate system (LCS) to GCS mapping (or the UE orientation) should be reported along with UE-FAP-AoA measurements.</w:t>
      </w:r>
    </w:p>
    <w:p>
      <w:pPr>
        <w:pStyle w:val="Normal"/>
        <w:jc w:val="both"/>
        <w:rPr/>
      </w:pPr>
      <w:r>
        <w:rPr>
          <w:sz w:val="24"/>
          <w:szCs w:val="32"/>
          <w:lang w:val="en-US" w:eastAsia="x-none"/>
        </w:rPr>
        <w:t>The orientation of the UE can be estimated if one set of following information is available at the positioning e</w:t>
      </w:r>
      <w:r>
        <w:rPr>
          <w:rFonts w:ascii="Times New Roman" w:hAnsi="Times New Roman"/>
          <w:color w:val="000000" w:themeColor="text1"/>
          <w:sz w:val="24"/>
          <w:szCs w:val="32"/>
          <w:lang w:val="en-US" w:eastAsia="x-none"/>
        </w:rPr>
        <w:t>ntity:</w:t>
      </w:r>
    </w:p>
    <w:p>
      <w:pPr>
        <w:pStyle w:val="Normal"/>
        <w:jc w:val="both"/>
        <w:rPr>
          <w:rFonts w:ascii="Times New Roman" w:hAnsi="Times New Roman"/>
          <w:color w:val="000000" w:themeColor="text1"/>
          <w:sz w:val="24"/>
          <w:szCs w:val="32"/>
          <w:lang w:val="en-US" w:eastAsia="x-none"/>
        </w:rPr>
      </w:pPr>
      <w:r>
        <w:rPr/>
      </w:r>
    </w:p>
    <w:p>
      <w:pPr>
        <w:pStyle w:val="ListParagraph"/>
        <w:numPr>
          <w:ilvl w:val="0"/>
          <w:numId w:val="10"/>
        </w:numPr>
        <w:jc w:val="both"/>
        <w:rPr>
          <w:rFonts w:ascii="Times New Roman" w:hAnsi="Times New Roman"/>
          <w:color w:val="000000" w:themeColor="text1"/>
          <w:szCs w:val="32"/>
          <w:lang w:eastAsia="x-none"/>
        </w:rPr>
      </w:pPr>
      <w:r>
        <w:rPr>
          <w:rFonts w:ascii="Times New Roman" w:hAnsi="Times New Roman"/>
          <w:color w:val="000000" w:themeColor="text1"/>
          <w:szCs w:val="32"/>
          <w:lang w:eastAsia="x-none"/>
        </w:rPr>
        <w:t>UE-FAP-AoA (in LCS) of the target UE, ToA estimate, DL-AoD (in GCS) &amp; TRP location of &gt;2 TRPs.</w:t>
      </w:r>
    </w:p>
    <w:p>
      <w:pPr>
        <w:pStyle w:val="ListParagraph"/>
        <w:numPr>
          <w:ilvl w:val="0"/>
          <w:numId w:val="10"/>
        </w:numPr>
        <w:jc w:val="both"/>
        <w:rPr>
          <w:rFonts w:ascii="Times New Roman" w:hAnsi="Times New Roman" w:cs="Times New Roman"/>
          <w:color w:val="000000" w:themeColor="text1"/>
          <w:szCs w:val="32"/>
          <w:lang w:eastAsia="x-none"/>
        </w:rPr>
      </w:pPr>
      <w:r>
        <w:rPr>
          <w:rFonts w:cs="Times New Roman" w:ascii="Times New Roman" w:hAnsi="Times New Roman"/>
          <w:color w:val="000000" w:themeColor="text1"/>
          <w:szCs w:val="32"/>
          <w:lang w:eastAsia="x-none"/>
        </w:rPr>
        <w:t>UE-FAP-AoA (in LCS) of the target UE, coarse location of the UE &amp; TRP location of &gt;2 TRPs.</w:t>
      </w:r>
    </w:p>
    <w:p>
      <w:pPr>
        <w:pStyle w:val="Normal"/>
        <w:jc w:val="both"/>
        <w:rPr>
          <w:rFonts w:ascii="Times New Roman" w:hAnsi="Times New Roman"/>
          <w:color w:val="000000" w:themeColor="text1"/>
          <w:szCs w:val="32"/>
          <w:lang w:eastAsia="x-none"/>
        </w:rPr>
      </w:pPr>
      <w:r>
        <w:rPr>
          <w:rFonts w:ascii="Times New Roman" w:hAnsi="Times New Roman"/>
          <w:color w:val="000000" w:themeColor="text1"/>
          <w:szCs w:val="32"/>
          <w:lang w:eastAsia="x-none"/>
        </w:rPr>
      </w:r>
    </w:p>
    <w:p>
      <w:pPr>
        <w:pStyle w:val="Normal"/>
        <w:jc w:val="both"/>
        <w:rPr>
          <w:rFonts w:ascii="Times New Roman" w:hAnsi="Times New Roman"/>
          <w:color w:val="000000" w:themeColor="text1"/>
          <w:sz w:val="24"/>
          <w:szCs w:val="40"/>
          <w:lang w:eastAsia="x-none"/>
        </w:rPr>
      </w:pPr>
      <w:r>
        <w:rPr>
          <w:rFonts w:ascii="Times New Roman" w:hAnsi="Times New Roman"/>
          <w:color w:val="000000" w:themeColor="text1"/>
          <w:sz w:val="24"/>
          <w:szCs w:val="40"/>
          <w:lang w:eastAsia="x-none"/>
        </w:rPr>
        <w:t>The option-2 from above signalling is already supported in the current specification. Hence, no signalling update and additional information is required to estimate the UE-FAP-AoA at the UE. Moreover, UE-FAP-AoA reporting doesn’t pose a large reporting overhead. Hence, for UE-assisted positioning the UE-FAP-AoA should be reported from UE to LMF for atleast DL-AoD method.</w:t>
      </w:r>
    </w:p>
    <w:p>
      <w:pPr>
        <w:pStyle w:val="Normal"/>
        <w:jc w:val="both"/>
        <w:rPr>
          <w:rFonts w:ascii="Times New Roman" w:hAnsi="Times New Roman"/>
          <w:color w:val="000000" w:themeColor="text1"/>
          <w:sz w:val="24"/>
          <w:szCs w:val="40"/>
          <w:lang w:eastAsia="x-none"/>
        </w:rPr>
      </w:pPr>
      <w:r>
        <w:rPr>
          <w:rFonts w:ascii="Times New Roman" w:hAnsi="Times New Roman"/>
          <w:color w:val="000000" w:themeColor="text1"/>
          <w:sz w:val="24"/>
          <w:szCs w:val="40"/>
          <w:lang w:eastAsia="x-none"/>
        </w:rPr>
      </w:r>
    </w:p>
    <w:p>
      <w:pPr>
        <w:pStyle w:val="Normal"/>
        <w:pBdr>
          <w:bottom w:val="single" w:sz="4" w:space="1" w:color="00000A"/>
        </w:pBdr>
        <w:jc w:val="both"/>
        <w:rPr/>
      </w:pPr>
      <w:r>
        <w:rPr>
          <w:rFonts w:ascii="Times New Roman" w:hAnsi="Times New Roman"/>
          <w:b/>
          <w:bCs/>
          <w:sz w:val="24"/>
          <w:lang w:val="en-US" w:eastAsia="x-none"/>
        </w:rPr>
        <w:t xml:space="preserve">Observation-2: </w:t>
      </w:r>
      <w:r>
        <w:rPr>
          <w:sz w:val="24"/>
          <w:szCs w:val="32"/>
          <w:lang w:val="en-US" w:eastAsia="x-none"/>
        </w:rPr>
        <w:t>The detection of the state of the link can be estimated accurately if the angle of arrival of first arrival path of the UE (UE-FAP-AoA) is available at the LMF for the UE-assisted positioning or the at the UE for UE-based positioning.</w:t>
      </w:r>
    </w:p>
    <w:p>
      <w:pPr>
        <w:pStyle w:val="Normal"/>
        <w:pBdr>
          <w:bottom w:val="single" w:sz="4" w:space="1" w:color="00000A"/>
        </w:pBdr>
        <w:jc w:val="both"/>
        <w:rPr>
          <w:sz w:val="24"/>
          <w:szCs w:val="32"/>
          <w:lang w:val="en-US" w:eastAsia="x-none"/>
        </w:rPr>
      </w:pPr>
      <w:r>
        <w:rPr/>
      </w:r>
    </w:p>
    <w:p>
      <w:pPr>
        <w:pStyle w:val="Normal"/>
        <w:pBdr>
          <w:bottom w:val="single" w:sz="4" w:space="1" w:color="00000A"/>
        </w:pBdr>
        <w:jc w:val="both"/>
        <w:rPr/>
      </w:pPr>
      <w:r>
        <w:rPr>
          <w:rFonts w:ascii="Times New Roman" w:hAnsi="Times New Roman"/>
          <w:b/>
          <w:bCs/>
          <w:sz w:val="24"/>
          <w:lang w:val="en-US" w:eastAsia="x-none"/>
        </w:rPr>
        <w:t xml:space="preserve">Observation-3: </w:t>
      </w:r>
      <w:r>
        <w:rPr>
          <w:sz w:val="24"/>
          <w:szCs w:val="32"/>
          <w:lang w:val="en-US" w:eastAsia="x-none"/>
        </w:rPr>
        <w:t>For UE-FAP-AoA measurements to be relevant, these measurements should either be reported in global co-ordinate system (GCS) or the local co-ordinate system (LCS) to GCS mapping (or the UE orientation) should be reported along with UE-FAP-AoA measurements.</w:t>
      </w:r>
    </w:p>
    <w:p>
      <w:pPr>
        <w:pStyle w:val="Normal"/>
        <w:pBdr>
          <w:bottom w:val="single" w:sz="4" w:space="1" w:color="00000A"/>
        </w:pBdr>
        <w:jc w:val="both"/>
        <w:rPr>
          <w:sz w:val="24"/>
          <w:szCs w:val="32"/>
          <w:lang w:val="en-US" w:eastAsia="x-none"/>
        </w:rPr>
      </w:pPr>
      <w:r>
        <w:rPr/>
      </w:r>
    </w:p>
    <w:p>
      <w:pPr>
        <w:pStyle w:val="Normal"/>
        <w:pBdr>
          <w:bottom w:val="single" w:sz="4" w:space="1" w:color="00000A"/>
        </w:pBdr>
        <w:jc w:val="both"/>
        <w:rPr>
          <w:sz w:val="24"/>
          <w:szCs w:val="32"/>
          <w:lang w:val="en-US" w:eastAsia="x-none"/>
        </w:rPr>
      </w:pPr>
      <w:r>
        <w:rPr>
          <w:rFonts w:ascii="Times New Roman" w:hAnsi="Times New Roman"/>
          <w:b/>
          <w:bCs/>
          <w:sz w:val="24"/>
          <w:lang w:val="en-US" w:eastAsia="x-none"/>
        </w:rPr>
        <w:t xml:space="preserve">Proposal-6: </w:t>
      </w:r>
      <w:r>
        <w:rPr>
          <w:rFonts w:ascii="Times New Roman" w:hAnsi="Times New Roman"/>
          <w:color w:val="000000" w:themeColor="text1"/>
          <w:sz w:val="24"/>
          <w:szCs w:val="40"/>
          <w:lang w:eastAsia="x-none"/>
        </w:rPr>
        <w:t>For UE-assisted positioning, the UE-FAP-AoA should be reported from UE to LMF for atleast DL-AoD method.</w:t>
      </w:r>
    </w:p>
    <w:p>
      <w:pPr>
        <w:pStyle w:val="Normal"/>
        <w:pBdr>
          <w:bottom w:val="single" w:sz="4" w:space="1" w:color="00000A"/>
        </w:pBdr>
        <w:jc w:val="both"/>
        <w:rPr>
          <w:sz w:val="24"/>
          <w:szCs w:val="32"/>
          <w:lang w:val="en-US" w:eastAsia="x-none"/>
        </w:rPr>
      </w:pPr>
      <w:r>
        <w:rPr>
          <w:sz w:val="24"/>
          <w:szCs w:val="32"/>
          <w:lang w:val="en-US" w:eastAsia="x-none"/>
        </w:rPr>
      </w:r>
    </w:p>
    <w:p>
      <w:pPr>
        <w:pStyle w:val="Heading1"/>
        <w:numPr>
          <w:ilvl w:val="0"/>
          <w:numId w:val="4"/>
        </w:numPr>
        <w:jc w:val="both"/>
        <w:rPr>
          <w:lang w:eastAsia="x-none"/>
        </w:rPr>
      </w:pPr>
      <w:r>
        <w:rPr>
          <w:lang w:eastAsia="x-none"/>
        </w:rPr>
        <w:t>Conclusion</w:t>
      </w:r>
    </w:p>
    <w:p>
      <w:pPr>
        <w:pStyle w:val="Normal"/>
        <w:jc w:val="both"/>
        <w:rPr>
          <w:rFonts w:ascii="Times New Roman" w:hAnsi="Times New Roman"/>
          <w:b/>
          <w:b/>
          <w:bCs/>
          <w:sz w:val="24"/>
          <w:lang w:val="en-US" w:eastAsia="x-none"/>
        </w:rPr>
      </w:pPr>
      <w:r>
        <w:rPr>
          <w:rFonts w:ascii="Times New Roman" w:hAnsi="Times New Roman"/>
          <w:b/>
          <w:bCs/>
          <w:sz w:val="24"/>
          <w:u w:val="single"/>
          <w:lang w:val="en-US" w:eastAsia="x-none"/>
        </w:rPr>
        <w:t>Observation-1</w:t>
      </w:r>
      <w:r>
        <w:rPr>
          <w:rFonts w:ascii="Times New Roman" w:hAnsi="Times New Roman"/>
          <w:b/>
          <w:bCs/>
          <w:sz w:val="24"/>
          <w:lang w:val="en-US" w:eastAsia="x-none"/>
        </w:rPr>
        <w:t xml:space="preserve">: </w:t>
      </w:r>
      <w:r>
        <w:rPr>
          <w:rFonts w:ascii="Times New Roman" w:hAnsi="Times New Roman"/>
          <w:b w:val="false"/>
          <w:bCs w:val="false"/>
          <w:sz w:val="24"/>
          <w:lang w:val="en-US" w:eastAsia="x-none"/>
        </w:rPr>
        <w:t xml:space="preserve">The location management server (LMF) has no way to identify whether the path-PRS-RSRP reported across the different PRS-resources belongs to the same path or different paths if the corresponding path-delay information is not included in DL-AoD report. </w:t>
      </w:r>
    </w:p>
    <w:p>
      <w:pPr>
        <w:pStyle w:val="Normal"/>
        <w:jc w:val="both"/>
        <w:rPr>
          <w:rFonts w:ascii="Times New Roman" w:hAnsi="Times New Roman"/>
          <w:b/>
          <w:b/>
          <w:bCs/>
          <w:sz w:val="24"/>
          <w:lang w:val="en-US" w:eastAsia="x-none"/>
        </w:rPr>
      </w:pPr>
      <w:r>
        <w:rPr>
          <w:rFonts w:ascii="Times New Roman" w:hAnsi="Times New Roman"/>
          <w:b/>
          <w:bCs/>
          <w:sz w:val="24"/>
          <w:lang w:val="en-US" w:eastAsia="x-none"/>
        </w:rPr>
      </w:r>
    </w:p>
    <w:p>
      <w:pPr>
        <w:pStyle w:val="Normal"/>
        <w:jc w:val="both"/>
        <w:rPr/>
      </w:pPr>
      <w:r>
        <w:rPr>
          <w:rFonts w:ascii="Times New Roman" w:hAnsi="Times New Roman"/>
          <w:b/>
          <w:bCs/>
          <w:sz w:val="24"/>
          <w:u w:val="single"/>
          <w:lang w:val="en-US" w:eastAsia="x-none"/>
        </w:rPr>
        <w:t>Proposal-1</w:t>
      </w:r>
      <w:r>
        <w:rPr>
          <w:rFonts w:ascii="Times New Roman" w:hAnsi="Times New Roman"/>
          <w:b/>
          <w:bCs/>
          <w:sz w:val="24"/>
          <w:lang w:val="en-US" w:eastAsia="x-none"/>
        </w:rPr>
        <w:t xml:space="preserve">: </w:t>
      </w:r>
      <w:r>
        <w:rPr>
          <w:rFonts w:ascii="Times New Roman" w:hAnsi="Times New Roman"/>
          <w:b w:val="false"/>
          <w:bCs w:val="false"/>
          <w:sz w:val="24"/>
          <w:lang w:val="en-US" w:eastAsia="x-none"/>
        </w:rPr>
        <w:t>We support Option 1 for definition of the path-PRS-RSRP.</w:t>
      </w:r>
    </w:p>
    <w:p>
      <w:pPr>
        <w:pStyle w:val="Normal"/>
        <w:jc w:val="both"/>
        <w:rPr>
          <w:rFonts w:ascii="Times New Roman" w:hAnsi="Times New Roman"/>
          <w:b/>
          <w:b/>
          <w:bCs/>
          <w:sz w:val="24"/>
          <w:lang w:val="en-US" w:eastAsia="x-none"/>
        </w:rPr>
      </w:pPr>
      <w:r>
        <w:rPr>
          <w:rFonts w:ascii="Times New Roman" w:hAnsi="Times New Roman"/>
          <w:b/>
          <w:bCs/>
          <w:sz w:val="24"/>
          <w:lang w:val="en-US" w:eastAsia="x-none"/>
        </w:rPr>
      </w:r>
    </w:p>
    <w:p>
      <w:pPr>
        <w:pStyle w:val="Normal"/>
        <w:jc w:val="both"/>
        <w:rPr/>
      </w:pPr>
      <w:r>
        <w:rPr>
          <w:rFonts w:ascii="Times New Roman" w:hAnsi="Times New Roman"/>
          <w:b/>
          <w:bCs/>
          <w:sz w:val="24"/>
          <w:u w:val="single"/>
          <w:lang w:val="en-US" w:eastAsia="x-none"/>
        </w:rPr>
        <w:t>Proposal-2</w:t>
      </w:r>
      <w:r>
        <w:rPr>
          <w:rFonts w:ascii="Times New Roman" w:hAnsi="Times New Roman"/>
          <w:b/>
          <w:bCs/>
          <w:sz w:val="24"/>
          <w:lang w:val="en-US" w:eastAsia="x-none"/>
        </w:rPr>
        <w:t xml:space="preserve">: </w:t>
      </w:r>
      <w:r>
        <w:rPr>
          <w:rFonts w:ascii="Times New Roman" w:hAnsi="Times New Roman"/>
          <w:b w:val="false"/>
          <w:bCs w:val="false"/>
          <w:sz w:val="24"/>
          <w:lang w:val="en-US" w:eastAsia="x-none"/>
        </w:rPr>
        <w:t>The delay of a certain path, whose path-RSRP has to be reported, should be estimated at the receiver itself.</w:t>
      </w:r>
    </w:p>
    <w:p>
      <w:pPr>
        <w:pStyle w:val="Normal"/>
        <w:jc w:val="both"/>
        <w:rPr>
          <w:rFonts w:ascii="Times New Roman" w:hAnsi="Times New Roman"/>
          <w:b/>
          <w:b/>
          <w:bCs/>
          <w:sz w:val="24"/>
          <w:lang w:val="en-US" w:eastAsia="x-none"/>
        </w:rPr>
      </w:pPr>
      <w:r>
        <w:rPr>
          <w:rFonts w:ascii="Times New Roman" w:hAnsi="Times New Roman"/>
          <w:b/>
          <w:bCs/>
          <w:sz w:val="24"/>
          <w:lang w:val="en-US" w:eastAsia="x-none"/>
        </w:rPr>
      </w:r>
    </w:p>
    <w:p>
      <w:pPr>
        <w:pStyle w:val="Normal"/>
        <w:jc w:val="both"/>
        <w:rPr/>
      </w:pPr>
      <w:r>
        <w:rPr>
          <w:rFonts w:ascii="Times New Roman" w:hAnsi="Times New Roman"/>
          <w:b/>
          <w:bCs/>
          <w:sz w:val="24"/>
          <w:u w:val="single"/>
          <w:lang w:val="en-US" w:eastAsia="x-none"/>
        </w:rPr>
        <w:t>Proposal-3</w:t>
      </w:r>
      <w:r>
        <w:rPr>
          <w:rFonts w:ascii="Times New Roman" w:hAnsi="Times New Roman"/>
          <w:b/>
          <w:bCs/>
          <w:sz w:val="24"/>
          <w:lang w:val="en-US" w:eastAsia="x-none"/>
        </w:rPr>
        <w:t xml:space="preserve">: </w:t>
      </w:r>
      <w:r>
        <w:rPr>
          <w:rFonts w:ascii="Times New Roman" w:hAnsi="Times New Roman"/>
          <w:b w:val="false"/>
          <w:bCs w:val="false"/>
          <w:sz w:val="24"/>
          <w:lang w:val="en-US" w:eastAsia="x-none"/>
        </w:rPr>
        <w:t>The UE should report the path-delay corresponding to the path-PRS-RSRP also in DL-AoD report.</w:t>
      </w:r>
    </w:p>
    <w:p>
      <w:pPr>
        <w:pStyle w:val="Normal"/>
        <w:jc w:val="both"/>
        <w:rPr>
          <w:rFonts w:ascii="Times New Roman" w:hAnsi="Times New Roman"/>
          <w:b/>
          <w:b/>
          <w:bCs/>
          <w:sz w:val="24"/>
          <w:lang w:val="en-US" w:eastAsia="x-none"/>
        </w:rPr>
      </w:pPr>
      <w:r>
        <w:rPr>
          <w:rFonts w:ascii="Times New Roman" w:hAnsi="Times New Roman"/>
          <w:b/>
          <w:bCs/>
          <w:sz w:val="24"/>
          <w:lang w:val="en-US" w:eastAsia="x-none"/>
        </w:rPr>
      </w:r>
    </w:p>
    <w:p>
      <w:pPr>
        <w:pStyle w:val="Normal"/>
        <w:pBdr>
          <w:bottom w:val="single" w:sz="4" w:space="1" w:color="00000A"/>
        </w:pBdr>
        <w:jc w:val="both"/>
        <w:rPr/>
      </w:pPr>
      <w:r>
        <w:rPr>
          <w:rFonts w:ascii="Times New Roman" w:hAnsi="Times New Roman"/>
          <w:b/>
          <w:bCs/>
          <w:sz w:val="24"/>
          <w:u w:val="single"/>
          <w:lang w:val="en-US" w:eastAsia="x-none"/>
        </w:rPr>
        <w:t>Proposal-4</w:t>
      </w:r>
      <w:r>
        <w:rPr>
          <w:rFonts w:ascii="Times New Roman" w:hAnsi="Times New Roman"/>
          <w:b/>
          <w:bCs/>
          <w:sz w:val="24"/>
          <w:lang w:val="en-US" w:eastAsia="x-none"/>
        </w:rPr>
        <w:t xml:space="preserve">: </w:t>
      </w:r>
      <w:r>
        <w:rPr>
          <w:rFonts w:ascii="Times New Roman" w:hAnsi="Times New Roman"/>
          <w:b w:val="false"/>
          <w:bCs w:val="false"/>
          <w:sz w:val="24"/>
          <w:lang w:val="en-US" w:eastAsia="x-none"/>
        </w:rPr>
        <w:t>For additional gNodeB beam information to UE, option-1 should also be supported along with option-2.</w:t>
      </w:r>
    </w:p>
    <w:p>
      <w:pPr>
        <w:pStyle w:val="Normal"/>
        <w:pBdr>
          <w:bottom w:val="single" w:sz="4" w:space="1" w:color="00000A"/>
        </w:pBdr>
        <w:jc w:val="both"/>
        <w:rPr>
          <w:rFonts w:ascii="Times New Roman" w:hAnsi="Times New Roman"/>
          <w:b/>
          <w:b/>
          <w:bCs/>
          <w:sz w:val="24"/>
          <w:lang w:val="en-US" w:eastAsia="x-none"/>
        </w:rPr>
      </w:pPr>
      <w:r>
        <w:rPr>
          <w:rFonts w:ascii="Times New Roman" w:hAnsi="Times New Roman"/>
          <w:b/>
          <w:bCs/>
          <w:sz w:val="24"/>
          <w:lang w:val="en-US" w:eastAsia="x-none"/>
        </w:rPr>
      </w:r>
    </w:p>
    <w:p>
      <w:pPr>
        <w:pStyle w:val="Normal"/>
        <w:pBdr>
          <w:bottom w:val="single" w:sz="4" w:space="1" w:color="00000A"/>
        </w:pBdr>
        <w:jc w:val="both"/>
        <w:rPr/>
      </w:pPr>
      <w:r>
        <w:rPr>
          <w:rFonts w:ascii="Times New Roman" w:hAnsi="Times New Roman"/>
          <w:b/>
          <w:bCs/>
          <w:sz w:val="24"/>
          <w:u w:val="single"/>
          <w:lang w:val="en-US" w:eastAsia="x-none"/>
        </w:rPr>
        <w:t>Proposal-5</w:t>
      </w:r>
      <w:r>
        <w:rPr>
          <w:rFonts w:ascii="Times New Roman" w:hAnsi="Times New Roman"/>
          <w:b/>
          <w:bCs/>
          <w:sz w:val="24"/>
          <w:lang w:val="en-US" w:eastAsia="x-none"/>
        </w:rPr>
        <w:t xml:space="preserve">: </w:t>
      </w:r>
      <w:r>
        <w:rPr>
          <w:rFonts w:ascii="Times New Roman" w:hAnsi="Times New Roman"/>
          <w:b w:val="false"/>
          <w:bCs w:val="false"/>
          <w:sz w:val="24"/>
          <w:lang w:val="en-US" w:eastAsia="x-none"/>
        </w:rPr>
        <w:t>Aleast (</w:t>
      </w:r>
      <w:r>
        <w:rPr>
          <w:rFonts w:ascii="Times New Roman" w:hAnsi="Times New Roman"/>
          <w:b w:val="false"/>
          <w:bCs w:val="false"/>
          <w:sz w:val="24"/>
          <w:lang w:val="en-US" w:eastAsia="x-none"/>
        </w:rPr>
      </w:r>
      <m:oMath xmlns:m="http://schemas.openxmlformats.org/officeDocument/2006/math">
        <m:sSub>
          <m:e>
            <m:r>
              <w:rPr>
                <w:rFonts w:ascii="Cambria Math" w:hAnsi="Cambria Math"/>
              </w:rPr>
              <m:t xml:space="preserve">N</m:t>
            </m:r>
          </m:e>
          <m:sub>
            <m:r>
              <w:rPr>
                <w:rFonts w:ascii="Cambria Math" w:hAnsi="Cambria Math"/>
              </w:rPr>
              <m:t xml:space="preserve">v</m:t>
            </m:r>
          </m:sub>
        </m:sSub>
        <m:r>
          <w:rPr>
            <w:rFonts w:ascii="Cambria Math" w:hAnsi="Cambria Math"/>
          </w:rPr>
          <m:t xml:space="preserve">,</m:t>
        </m:r>
        <m:sSub>
          <m:e>
            <m:r>
              <w:rPr>
                <w:rFonts w:ascii="Cambria Math" w:hAnsi="Cambria Math"/>
              </w:rPr>
              <m:t xml:space="preserve">N</m:t>
            </m:r>
          </m:e>
          <m:sub>
            <m:r>
              <w:rPr>
                <w:rFonts w:ascii="Cambria Math" w:hAnsi="Cambria Math"/>
              </w:rPr>
              <m:t xml:space="preserve">h</m:t>
            </m:r>
          </m:sub>
        </m:sSub>
      </m:oMath>
      <w:r>
        <w:rPr>
          <w:rFonts w:ascii="Times New Roman" w:hAnsi="Times New Roman"/>
          <w:b w:val="false"/>
          <w:bCs w:val="false"/>
          <w:sz w:val="24"/>
          <w:lang w:val="en-US" w:eastAsia="x-none"/>
        </w:rPr>
        <w:t>) the number of antennas, along horizontal and vertical, (</w:t>
      </w:r>
      <w:r>
        <w:rPr>
          <w:rFonts w:ascii="Times New Roman" w:hAnsi="Times New Roman"/>
          <w:b w:val="false"/>
          <w:bCs w:val="false"/>
          <w:sz w:val="24"/>
          <w:lang w:val="en-US" w:eastAsia="x-none"/>
        </w:rPr>
      </w:r>
      <m:oMath xmlns:m="http://schemas.openxmlformats.org/officeDocument/2006/math">
        <m:sSub>
          <m:e>
            <m:r>
              <w:rPr>
                <w:rFonts w:ascii="Cambria Math" w:hAnsi="Cambria Math"/>
              </w:rPr>
              <m:t xml:space="preserve">d</m:t>
            </m:r>
          </m:e>
          <m:sub>
            <m:r>
              <w:rPr>
                <w:rFonts w:ascii="Cambria Math" w:hAnsi="Cambria Math"/>
              </w:rPr>
              <m:t xml:space="preserve">v</m:t>
            </m:r>
          </m:sub>
        </m:sSub>
        <m:r>
          <w:rPr>
            <w:rFonts w:ascii="Cambria Math" w:hAnsi="Cambria Math"/>
          </w:rPr>
          <m:t xml:space="preserve">,</m:t>
        </m:r>
        <m:sSub>
          <m:e>
            <m:r>
              <w:rPr>
                <w:rFonts w:ascii="Cambria Math" w:hAnsi="Cambria Math"/>
              </w:rPr>
              <m:t xml:space="preserve">d</m:t>
            </m:r>
          </m:e>
          <m:sub>
            <m:r>
              <w:rPr>
                <w:rFonts w:ascii="Cambria Math" w:hAnsi="Cambria Math"/>
              </w:rPr>
              <m:t xml:space="preserve">h</m:t>
            </m:r>
          </m:sub>
        </m:sSub>
      </m:oMath>
      <w:r>
        <w:rPr>
          <w:rFonts w:ascii="Times New Roman" w:hAnsi="Times New Roman"/>
          <w:b w:val="false"/>
          <w:bCs w:val="false"/>
          <w:sz w:val="24"/>
          <w:lang w:val="en-US" w:eastAsia="x-none"/>
        </w:rPr>
        <w:t>) inter-element spacing along horizontal and vertical, (</w:t>
      </w:r>
      <w:r>
        <w:rPr>
          <w:rFonts w:ascii="Times New Roman" w:hAnsi="Times New Roman"/>
          <w:b w:val="false"/>
          <w:bCs w:val="false"/>
          <w:sz w:val="24"/>
          <w:lang w:val="en-US" w:eastAsia="x-none"/>
        </w:rPr>
      </w:r>
      <m:oMath xmlns:m="http://schemas.openxmlformats.org/officeDocument/2006/math">
        <m:sSub>
          <m:e>
            <m:r>
              <w:rPr>
                <w:rFonts w:ascii="Cambria Math" w:hAnsi="Cambria Math"/>
              </w:rPr>
              <m:t xml:space="preserve">ϕ</m:t>
            </m:r>
          </m:e>
          <m:sub>
            <m:r>
              <w:rPr>
                <w:rFonts w:ascii="Cambria Math" w:hAnsi="Cambria Math"/>
              </w:rPr>
              <m:t xml:space="preserve">AoD</m:t>
            </m:r>
          </m:sub>
        </m:sSub>
        <m:r>
          <w:rPr>
            <w:rFonts w:ascii="Cambria Math" w:hAnsi="Cambria Math"/>
          </w:rPr>
          <m:t xml:space="preserve">,</m:t>
        </m:r>
        <m:sSub>
          <m:e>
            <m:r>
              <w:rPr>
                <w:rFonts w:ascii="Cambria Math" w:hAnsi="Cambria Math"/>
              </w:rPr>
              <m:t xml:space="preserve">θ</m:t>
            </m:r>
          </m:e>
          <m:sub>
            <m:r>
              <w:rPr>
                <w:rFonts w:ascii="Cambria Math" w:hAnsi="Cambria Math"/>
              </w:rPr>
              <m:t xml:space="preserve">AoD</m:t>
            </m:r>
          </m:sub>
        </m:sSub>
      </m:oMath>
      <w:r>
        <w:rPr>
          <w:rFonts w:ascii="Times New Roman" w:hAnsi="Times New Roman"/>
          <w:b w:val="false"/>
          <w:bCs w:val="false"/>
          <w:sz w:val="24"/>
          <w:lang w:val="en-US" w:eastAsia="x-none"/>
        </w:rPr>
        <w:t>)  the boresight AoD and boresight ZoD respectively should be provided to the UE as the beam assitance information.</w:t>
      </w:r>
    </w:p>
    <w:p>
      <w:pPr>
        <w:pStyle w:val="Normal"/>
        <w:pBdr>
          <w:bottom w:val="single" w:sz="4" w:space="1" w:color="00000A"/>
        </w:pBdr>
        <w:jc w:val="both"/>
        <w:rPr>
          <w:rFonts w:ascii="Times New Roman" w:hAnsi="Times New Roman"/>
          <w:b/>
          <w:b/>
          <w:bCs/>
          <w:sz w:val="24"/>
          <w:lang w:val="en-US" w:eastAsia="x-none"/>
        </w:rPr>
      </w:pPr>
      <w:r>
        <w:rPr>
          <w:rFonts w:ascii="Times New Roman" w:hAnsi="Times New Roman"/>
          <w:b/>
          <w:bCs/>
          <w:sz w:val="24"/>
          <w:lang w:val="en-US" w:eastAsia="x-none"/>
        </w:rPr>
      </w:r>
    </w:p>
    <w:p>
      <w:pPr>
        <w:pStyle w:val="Normal"/>
        <w:pBdr>
          <w:bottom w:val="single" w:sz="4" w:space="1" w:color="00000A"/>
        </w:pBdr>
        <w:jc w:val="both"/>
        <w:rPr/>
      </w:pPr>
      <w:r>
        <w:rPr>
          <w:rFonts w:ascii="Times New Roman" w:hAnsi="Times New Roman"/>
          <w:b/>
          <w:bCs/>
          <w:sz w:val="24"/>
          <w:u w:val="single"/>
          <w:lang w:val="en-US" w:eastAsia="x-none"/>
        </w:rPr>
        <w:t>Proposal-6:</w:t>
      </w:r>
      <w:r>
        <w:rPr>
          <w:rFonts w:ascii="Times New Roman" w:hAnsi="Times New Roman"/>
          <w:b/>
          <w:bCs/>
          <w:sz w:val="24"/>
          <w:lang w:val="en-US" w:eastAsia="x-none"/>
        </w:rPr>
        <w:t xml:space="preserve"> </w:t>
      </w:r>
      <w:r>
        <w:rPr>
          <w:rFonts w:ascii="Times New Roman" w:hAnsi="Times New Roman"/>
          <w:b w:val="false"/>
          <w:bCs w:val="false"/>
          <w:color w:val="000000" w:themeColor="text1"/>
          <w:sz w:val="24"/>
          <w:szCs w:val="40"/>
          <w:lang w:eastAsia="x-none"/>
        </w:rPr>
        <w:t>For UE-assisted positioning, the UE-FAP-AoA should be reported from UE to LMF for DL-AoD positioning method</w:t>
      </w:r>
      <w:r>
        <w:rPr>
          <w:rFonts w:ascii="Times New Roman" w:hAnsi="Times New Roman"/>
          <w:b w:val="false"/>
          <w:bCs w:val="false"/>
          <w:color w:val="000000" w:themeColor="text1"/>
          <w:sz w:val="24"/>
          <w:szCs w:val="32"/>
          <w:lang w:val="en-US" w:eastAsia="x-none"/>
        </w:rPr>
        <w:t>.</w:t>
      </w:r>
    </w:p>
    <w:p>
      <w:pPr>
        <w:pStyle w:val="Normal"/>
        <w:pBdr>
          <w:bottom w:val="single" w:sz="4" w:space="1" w:color="00000A"/>
        </w:pBdr>
        <w:jc w:val="both"/>
        <w:rPr>
          <w:lang w:val="en-US" w:eastAsia="x-none"/>
        </w:rPr>
      </w:pPr>
      <w:r>
        <w:rPr>
          <w:lang w:val="en-US" w:eastAsia="x-none"/>
        </w:rPr>
      </w:r>
    </w:p>
    <w:p>
      <w:pPr>
        <w:pStyle w:val="Heading1"/>
        <w:numPr>
          <w:ilvl w:val="0"/>
          <w:numId w:val="2"/>
        </w:numPr>
        <w:jc w:val="both"/>
        <w:rPr>
          <w:lang w:eastAsia="x-none"/>
        </w:rPr>
      </w:pPr>
      <w:r>
        <w:rPr>
          <w:lang w:eastAsia="x-none"/>
        </w:rPr>
        <w:t>References</w:t>
      </w:r>
    </w:p>
    <w:p>
      <w:pPr>
        <w:pStyle w:val="ListParagraph"/>
        <w:widowControl w:val="false"/>
        <w:numPr>
          <w:ilvl w:val="0"/>
          <w:numId w:val="3"/>
        </w:numPr>
        <w:tabs>
          <w:tab w:val="left" w:pos="708" w:leader="none"/>
        </w:tabs>
        <w:spacing w:before="0" w:after="60"/>
        <w:jc w:val="both"/>
        <w:rPr/>
      </w:pPr>
      <w:hyperlink r:id="rId4">
        <w:r>
          <w:rPr>
            <w:rStyle w:val="ListLabel31"/>
          </w:rPr>
          <w:t>RP-202900</w:t>
        </w:r>
      </w:hyperlink>
      <w:r>
        <w:rPr>
          <w:rFonts w:ascii="Times New Roman" w:hAnsi="Times New Roman"/>
          <w:sz w:val="20"/>
          <w:szCs w:val="20"/>
        </w:rPr>
        <w:t>, “New WID on NR Positioning Enhancements”, CATT, Intel Corporation, Ericsson.</w:t>
      </w:r>
    </w:p>
    <w:p>
      <w:pPr>
        <w:pStyle w:val="ListParagraph"/>
        <w:widowControl w:val="false"/>
        <w:numPr>
          <w:ilvl w:val="0"/>
          <w:numId w:val="3"/>
        </w:numPr>
        <w:tabs>
          <w:tab w:val="left" w:pos="708" w:leader="none"/>
        </w:tabs>
        <w:spacing w:before="0" w:after="60"/>
        <w:jc w:val="both"/>
        <w:rPr/>
      </w:pPr>
      <w:r>
        <w:rPr>
          <w:rFonts w:ascii="Times New Roman" w:hAnsi="Times New Roman"/>
          <w:sz w:val="20"/>
          <w:szCs w:val="20"/>
        </w:rPr>
        <w:t>3GPP TS 38.455, “NR Positioning Protocol A (NRPPa)”</w:t>
      </w:r>
    </w:p>
    <w:p>
      <w:pPr>
        <w:pStyle w:val="ListParagraph"/>
        <w:widowControl w:val="false"/>
        <w:numPr>
          <w:ilvl w:val="0"/>
          <w:numId w:val="3"/>
        </w:numPr>
        <w:tabs>
          <w:tab w:val="left" w:pos="708" w:leader="none"/>
        </w:tabs>
        <w:spacing w:before="0" w:after="60"/>
        <w:jc w:val="both"/>
        <w:rPr/>
      </w:pPr>
      <w:r>
        <w:rPr>
          <w:rFonts w:eastAsia="Batang" w:cs="Times New Roman" w:ascii="Times New Roman" w:hAnsi="Times New Roman"/>
          <w:b w:val="false"/>
          <w:bCs w:val="false"/>
          <w:iCs/>
          <w:sz w:val="20"/>
          <w:szCs w:val="20"/>
          <w:lang w:val="en-GB"/>
        </w:rPr>
        <w:t>R1-2108623</w:t>
        <w:tab/>
        <w:t xml:space="preserve"> </w:t>
      </w:r>
      <w:r>
        <w:rPr>
          <w:rFonts w:eastAsia="Batang" w:cs="Times New Roman" w:ascii="Times New Roman" w:hAnsi="Times New Roman"/>
          <w:iCs/>
          <w:sz w:val="20"/>
          <w:szCs w:val="20"/>
          <w:lang w:val="en-GB"/>
        </w:rPr>
        <w:t>FL summary #4 for AI 8.5.3 Accuracy improvements for DL-AoD positioning solutions</w:t>
      </w:r>
      <w:r>
        <w:rPr>
          <w:rFonts w:ascii="Times New Roman" w:hAnsi="Times New Roman"/>
          <w:iCs/>
          <w:sz w:val="20"/>
          <w:szCs w:val="20"/>
        </w:rPr>
        <w:t>Moderator (Ericsson)</w:t>
      </w:r>
    </w:p>
    <w:p>
      <w:pPr>
        <w:pStyle w:val="Normal"/>
        <w:jc w:val="both"/>
        <w:rPr>
          <w:lang w:val="en-US" w:eastAsia="x-none"/>
        </w:rPr>
      </w:pPr>
      <w:r>
        <w:rPr>
          <w:lang w:val="en-US" w:eastAsia="x-none"/>
        </w:rPr>
      </w:r>
    </w:p>
    <w:p>
      <w:pPr>
        <w:pStyle w:val="Normal"/>
        <w:jc w:val="both"/>
        <w:rPr/>
      </w:pPr>
      <w:r>
        <w:rPr/>
      </w:r>
    </w:p>
    <w:sectPr>
      <w:type w:val="nextPage"/>
      <w:pgSz w:w="12240" w:h="15840"/>
      <w:pgMar w:left="1440" w:right="1440" w:header="0" w:top="1440" w:footer="0" w:bottom="1440"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w:altName w:val="Times New Roman"/>
    <w:charset w:val="01"/>
    <w:family w:val="roman"/>
    <w:pitch w:val="variable"/>
  </w:font>
  <w:font w:name="Times New Roman">
    <w:charset w:val="01"/>
    <w:family w:val="roman"/>
    <w:pitch w:val="variable"/>
  </w:font>
  <w:font w:name="Arial">
    <w:charset w:val="01"/>
    <w:family w:val="roman"/>
    <w:pitch w:val="variable"/>
  </w:font>
  <w:font w:name="SimSun">
    <w:charset w:val="01"/>
    <w:family w:val="roman"/>
    <w:pitch w:val="variable"/>
  </w:font>
  <w:font w:name="Liberation Sans">
    <w:altName w:val="Arial"/>
    <w:charset w:val="01"/>
    <w:family w:val="roman"/>
    <w:pitch w:val="variable"/>
  </w:font>
  <w:font w:name="Calibri">
    <w:charset w:val="01"/>
    <w:family w:val="auto"/>
    <w:pitch w:val="default"/>
  </w:font>
  <w:font w:name="Tw Cen MT">
    <w:charset w:val="01"/>
    <w:family w:val="auto"/>
    <w:pitch w:val="default"/>
  </w:font>
  <w:font w:name="Symbol">
    <w:charset w:val="02"/>
    <w:family w:val="auto"/>
    <w:pitch w:val="default"/>
  </w:font>
  <w:font w:name="Courier New">
    <w:charset w:val="01"/>
    <w:family w:val="auto"/>
    <w:pitch w:val="default"/>
  </w:font>
  <w:font w:name="Wingdings">
    <w:charset w:val="02"/>
    <w:family w:val="auto"/>
    <w:pitch w:val="default"/>
  </w:font>
  <w:font w:name="Arial">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432"/>
        </w:tabs>
        <w:ind w:left="432" w:hanging="432"/>
      </w:pPr>
      <w:rPr>
        <w:i w:val="false"/>
        <w:lang w:val="en-US"/>
      </w:rPr>
    </w:lvl>
    <w:lvl w:ilvl="1">
      <w:start w:val="1"/>
      <w:pStyle w:val="Heading2"/>
      <w:numFmt w:val="decimal"/>
      <w:lvlText w:val="%1.%2"/>
      <w:lvlJc w:val="left"/>
      <w:pPr>
        <w:tabs>
          <w:tab w:val="num" w:pos="576"/>
        </w:tabs>
        <w:ind w:left="576" w:hanging="576"/>
      </w:pPr>
      <w:rPr>
        <w:sz w:val="24"/>
        <w:i w:val="false"/>
        <w:b/>
        <w:effect w:val="none"/>
      </w:rPr>
    </w:lvl>
    <w:lvl w:ilvl="2">
      <w:start w:val="1"/>
      <w:pStyle w:val="Heading3"/>
      <w:numFmt w:val="decimal"/>
      <w:lvlText w:val="%1.%2.%3"/>
      <w:lvlJc w:val="left"/>
      <w:pPr>
        <w:tabs>
          <w:tab w:val="num" w:pos="720"/>
        </w:tabs>
        <w:ind w:left="720" w:hanging="720"/>
      </w:pPr>
    </w:lvl>
    <w:lvl w:ilvl="3">
      <w:start w:val="1"/>
      <w:pStyle w:val="Heading4"/>
      <w:numFmt w:val="decimal"/>
      <w:lvlText w:val="%1.%2.%3.%4"/>
      <w:lvlJc w:val="left"/>
      <w:pPr>
        <w:tabs>
          <w:tab w:val="num" w:pos="864"/>
        </w:tabs>
        <w:ind w:left="864" w:hanging="864"/>
      </w:pPr>
    </w:lvl>
    <w:lvl w:ilvl="4">
      <w:start w:val="1"/>
      <w:pStyle w:val="Heading5"/>
      <w:numFmt w:val="decimal"/>
      <w:lvlText w:val="%1.%2.%3.%4.%5"/>
      <w:lvlJc w:val="left"/>
      <w:pPr>
        <w:tabs>
          <w:tab w:val="num" w:pos="1008"/>
        </w:tabs>
        <w:ind w:left="1008" w:hanging="1008"/>
      </w:pPr>
    </w:lvl>
    <w:lvl w:ilvl="5">
      <w:start w:val="1"/>
      <w:pStyle w:val="Heading6"/>
      <w:numFmt w:val="decimal"/>
      <w:lvlText w:val="%1.%2.%3.%4.%5.%6"/>
      <w:lvlJc w:val="left"/>
      <w:pPr>
        <w:tabs>
          <w:tab w:val="num" w:pos="1152"/>
        </w:tabs>
        <w:ind w:left="1152" w:hanging="1152"/>
      </w:pPr>
    </w:lvl>
    <w:lvl w:ilvl="6">
      <w:start w:val="1"/>
      <w:pStyle w:val="Heading7"/>
      <w:numFmt w:val="decimal"/>
      <w:lvlText w:val="%1.%2.%3.%4.%5.%6.%7"/>
      <w:lvlJc w:val="left"/>
      <w:pPr>
        <w:tabs>
          <w:tab w:val="num" w:pos="1296"/>
        </w:tabs>
        <w:ind w:left="1296" w:hanging="1296"/>
      </w:pPr>
    </w:lvl>
    <w:lvl w:ilvl="7">
      <w:start w:val="1"/>
      <w:pStyle w:val="Heading8"/>
      <w:numFmt w:val="decimal"/>
      <w:lvlText w:val="%1.%2.%3.%4.%5.%6.%7.%8"/>
      <w:lvlJc w:val="left"/>
      <w:pPr>
        <w:tabs>
          <w:tab w:val="num" w:pos="1440"/>
        </w:tabs>
        <w:ind w:left="1440" w:hanging="1440"/>
      </w:pPr>
    </w:lvl>
    <w:lvl w:ilvl="8">
      <w:start w:val="1"/>
      <w:pStyle w:val="Heading9"/>
      <w:numFmt w:val="decimal"/>
      <w:lvlText w:val="%1.%2.%3.%4.%5.%6.%7.%8.%9"/>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rPr>
        <w:i w:val="false"/>
        <w:lang w:val="en-US"/>
      </w:rPr>
    </w:lvl>
    <w:lvl w:ilvl="1">
      <w:start w:val="1"/>
      <w:numFmt w:val="decimal"/>
      <w:lvlText w:val="%1.%2"/>
      <w:lvlJc w:val="left"/>
      <w:pPr>
        <w:tabs>
          <w:tab w:val="num" w:pos="576"/>
        </w:tabs>
        <w:ind w:left="576" w:hanging="576"/>
      </w:pPr>
      <w:rPr>
        <w:sz w:val="24"/>
        <w:i w:val="false"/>
        <w:b/>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4">
    <w:lvl w:ilvl="0">
      <w:start w:val="1"/>
      <w:numFmt w:val="decimal"/>
      <w:lvlText w:val="%1"/>
      <w:lvlJc w:val="left"/>
      <w:pPr>
        <w:tabs>
          <w:tab w:val="num" w:pos="432"/>
        </w:tabs>
        <w:ind w:left="432" w:hanging="432"/>
      </w:pPr>
      <w:rPr>
        <w:i w:val="false"/>
        <w:lang w:val="en-US"/>
      </w:rPr>
    </w:lvl>
    <w:lvl w:ilvl="1">
      <w:start w:val="1"/>
      <w:numFmt w:val="decimal"/>
      <w:lvlText w:val="%1.%2"/>
      <w:lvlJc w:val="left"/>
      <w:pPr>
        <w:tabs>
          <w:tab w:val="num" w:pos="576"/>
        </w:tabs>
        <w:ind w:left="576" w:hanging="576"/>
      </w:pPr>
      <w:rPr>
        <w:sz w:val="24"/>
        <w:i w:val="false"/>
        <w:b/>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lvl w:ilvl="0">
      <w:start w:val="1"/>
      <w:numFmt w:val="bullet"/>
      <w:lvlText w:val=" "/>
      <w:lvlJc w:val="left"/>
      <w:pPr>
        <w:tabs>
          <w:tab w:val="num" w:pos="720"/>
        </w:tabs>
        <w:ind w:left="720" w:hanging="360"/>
      </w:pPr>
      <w:rPr>
        <w:rFonts w:ascii="Tw Cen MT" w:hAnsi="Tw Cen MT" w:cs="Tw Cen MT" w:hint="default"/>
        <w:sz w:val="24"/>
        <w:rFonts w:cs="Tw Cen MT"/>
      </w:rPr>
    </w:lvl>
    <w:lvl w:ilvl="1">
      <w:start w:val="1"/>
      <w:numFmt w:val="bullet"/>
      <w:lvlText w:val=" "/>
      <w:lvlJc w:val="left"/>
      <w:pPr>
        <w:tabs>
          <w:tab w:val="num" w:pos="1440"/>
        </w:tabs>
        <w:ind w:left="1440" w:hanging="360"/>
      </w:pPr>
      <w:rPr>
        <w:rFonts w:ascii="Tw Cen MT" w:hAnsi="Tw Cen MT" w:cs="Tw Cen MT" w:hint="default"/>
        <w:rFonts w:cs="Tw Cen MT"/>
      </w:rPr>
    </w:lvl>
    <w:lvl w:ilvl="2">
      <w:start w:val="1"/>
      <w:numFmt w:val="bullet"/>
      <w:lvlText w:val=" "/>
      <w:lvlJc w:val="left"/>
      <w:pPr>
        <w:tabs>
          <w:tab w:val="num" w:pos="2160"/>
        </w:tabs>
        <w:ind w:left="2160" w:hanging="360"/>
      </w:pPr>
      <w:rPr>
        <w:rFonts w:ascii="Tw Cen MT" w:hAnsi="Tw Cen MT" w:cs="Tw Cen MT" w:hint="default"/>
        <w:rFonts w:cs="Tw Cen MT"/>
      </w:rPr>
    </w:lvl>
    <w:lvl w:ilvl="3">
      <w:start w:val="1"/>
      <w:numFmt w:val="bullet"/>
      <w:lvlText w:val=" "/>
      <w:lvlJc w:val="left"/>
      <w:pPr>
        <w:tabs>
          <w:tab w:val="num" w:pos="2880"/>
        </w:tabs>
        <w:ind w:left="2880" w:hanging="360"/>
      </w:pPr>
      <w:rPr>
        <w:rFonts w:ascii="Tw Cen MT" w:hAnsi="Tw Cen MT" w:cs="Tw Cen MT" w:hint="default"/>
        <w:rFonts w:cs="Tw Cen MT"/>
      </w:rPr>
    </w:lvl>
    <w:lvl w:ilvl="4">
      <w:start w:val="1"/>
      <w:numFmt w:val="bullet"/>
      <w:lvlText w:val=" "/>
      <w:lvlJc w:val="left"/>
      <w:pPr>
        <w:tabs>
          <w:tab w:val="num" w:pos="3600"/>
        </w:tabs>
        <w:ind w:left="3600" w:hanging="360"/>
      </w:pPr>
      <w:rPr>
        <w:rFonts w:ascii="Tw Cen MT" w:hAnsi="Tw Cen MT" w:cs="Tw Cen MT" w:hint="default"/>
        <w:rFonts w:cs="Tw Cen MT"/>
      </w:rPr>
    </w:lvl>
    <w:lvl w:ilvl="5">
      <w:start w:val="1"/>
      <w:numFmt w:val="bullet"/>
      <w:lvlText w:val=" "/>
      <w:lvlJc w:val="left"/>
      <w:pPr>
        <w:tabs>
          <w:tab w:val="num" w:pos="4320"/>
        </w:tabs>
        <w:ind w:left="4320" w:hanging="360"/>
      </w:pPr>
      <w:rPr>
        <w:rFonts w:ascii="Tw Cen MT" w:hAnsi="Tw Cen MT" w:cs="Tw Cen MT" w:hint="default"/>
        <w:rFonts w:cs="Tw Cen MT"/>
      </w:rPr>
    </w:lvl>
    <w:lvl w:ilvl="6">
      <w:start w:val="1"/>
      <w:numFmt w:val="bullet"/>
      <w:lvlText w:val=" "/>
      <w:lvlJc w:val="left"/>
      <w:pPr>
        <w:tabs>
          <w:tab w:val="num" w:pos="5040"/>
        </w:tabs>
        <w:ind w:left="5040" w:hanging="360"/>
      </w:pPr>
      <w:rPr>
        <w:rFonts w:ascii="Tw Cen MT" w:hAnsi="Tw Cen MT" w:cs="Tw Cen MT" w:hint="default"/>
        <w:rFonts w:cs="Tw Cen MT"/>
      </w:rPr>
    </w:lvl>
    <w:lvl w:ilvl="7">
      <w:start w:val="1"/>
      <w:numFmt w:val="bullet"/>
      <w:lvlText w:val=" "/>
      <w:lvlJc w:val="left"/>
      <w:pPr>
        <w:tabs>
          <w:tab w:val="num" w:pos="5760"/>
        </w:tabs>
        <w:ind w:left="5760" w:hanging="360"/>
      </w:pPr>
      <w:rPr>
        <w:rFonts w:ascii="Tw Cen MT" w:hAnsi="Tw Cen MT" w:cs="Tw Cen MT" w:hint="default"/>
        <w:rFonts w:cs="Tw Cen MT"/>
      </w:rPr>
    </w:lvl>
    <w:lvl w:ilvl="8">
      <w:start w:val="1"/>
      <w:numFmt w:val="bullet"/>
      <w:lvlText w:val=" "/>
      <w:lvlJc w:val="left"/>
      <w:pPr>
        <w:tabs>
          <w:tab w:val="num" w:pos="6480"/>
        </w:tabs>
        <w:ind w:left="6480" w:hanging="360"/>
      </w:pPr>
      <w:rPr>
        <w:rFonts w:ascii="Tw Cen MT" w:hAnsi="Tw Cen MT" w:cs="Tw Cen MT" w:hint="default"/>
        <w:rFonts w:cs="Tw Cen MT"/>
      </w:rPr>
    </w:lvl>
  </w:abstractNum>
  <w:abstractNum w:abstractNumId="6">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o"/>
      <w:lvlJc w:val="left"/>
      <w:pPr>
        <w:tabs>
          <w:tab w:val="num" w:pos="1440"/>
        </w:tabs>
        <w:ind w:left="1440" w:hanging="360"/>
      </w:pPr>
      <w:rPr>
        <w:rFonts w:ascii="Courier New" w:hAnsi="Courier New" w:cs="Courier New" w:hint="default"/>
        <w:sz w:val="24"/>
        <w:rFonts w:cs="Courier New"/>
      </w:rPr>
    </w:lvl>
    <w:lvl w:ilvl="2">
      <w:start w:val="1"/>
      <w:numFmt w:val="bullet"/>
      <w:lvlText w:val=""/>
      <w:lvlJc w:val="left"/>
      <w:pPr>
        <w:tabs>
          <w:tab w:val="num" w:pos="2160"/>
        </w:tabs>
        <w:ind w:left="2160" w:hanging="360"/>
      </w:pPr>
      <w:rPr>
        <w:rFonts w:ascii="Symbol" w:hAnsi="Symbol" w:cs="Symbol" w:hint="default"/>
        <w:rFonts w:cs="Symbol"/>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
      <w:lvlJc w:val="left"/>
      <w:pPr>
        <w:tabs>
          <w:tab w:val="num" w:pos="3600"/>
        </w:tabs>
        <w:ind w:left="3600" w:hanging="360"/>
      </w:pPr>
      <w:rPr>
        <w:rFonts w:ascii="Symbol" w:hAnsi="Symbol" w:cs="Symbol" w:hint="default"/>
        <w:rFonts w:cs="Symbol"/>
      </w:rPr>
    </w:lvl>
    <w:lvl w:ilvl="5">
      <w:start w:val="1"/>
      <w:numFmt w:val="bullet"/>
      <w:lvlText w:val=""/>
      <w:lvlJc w:val="left"/>
      <w:pPr>
        <w:tabs>
          <w:tab w:val="num" w:pos="4320"/>
        </w:tabs>
        <w:ind w:left="4320" w:hanging="360"/>
      </w:pPr>
      <w:rPr>
        <w:rFonts w:ascii="Symbol" w:hAnsi="Symbol" w:cs="Symbol" w:hint="default"/>
        <w:rFonts w:cs="Symbol"/>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
      <w:lvlJc w:val="left"/>
      <w:pPr>
        <w:tabs>
          <w:tab w:val="num" w:pos="5760"/>
        </w:tabs>
        <w:ind w:left="5760" w:hanging="360"/>
      </w:pPr>
      <w:rPr>
        <w:rFonts w:ascii="Symbol" w:hAnsi="Symbol" w:cs="Symbol" w:hint="default"/>
        <w:rFonts w:cs="Symbol"/>
      </w:rPr>
    </w:lvl>
    <w:lvl w:ilvl="8">
      <w:start w:val="1"/>
      <w:numFmt w:val="bullet"/>
      <w:lvlText w:val=""/>
      <w:lvlJc w:val="left"/>
      <w:pPr>
        <w:tabs>
          <w:tab w:val="num" w:pos="6480"/>
        </w:tabs>
        <w:ind w:left="6480" w:hanging="360"/>
      </w:pPr>
      <w:rPr>
        <w:rFonts w:ascii="Symbol" w:hAnsi="Symbol" w:cs="Symbol" w:hint="default"/>
        <w:rFonts w:cs="Symbol"/>
      </w:rPr>
    </w:lvl>
  </w:abstractNum>
  <w:abstractNum w:abstractNumId="7">
    <w:lvl w:ilvl="0">
      <w:start w:val="1"/>
      <w:numFmt w:val="bullet"/>
      <w:lvlText w:val=""/>
      <w:lvlJc w:val="left"/>
      <w:pPr>
        <w:ind w:left="720" w:hanging="360"/>
      </w:pPr>
      <w:rPr>
        <w:rFonts w:ascii="Wingdings" w:hAnsi="Wingdings" w:cs="Wingdings" w:hint="default"/>
        <w:sz w:val="24"/>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8">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b/>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9">
    <w:lvl w:ilvl="0">
      <w:start w:val="2"/>
      <w:numFmt w:val="bullet"/>
      <w:lvlText w:val="-"/>
      <w:lvlJc w:val="left"/>
      <w:pPr>
        <w:ind w:left="720" w:hanging="360"/>
      </w:pPr>
      <w:rPr>
        <w:rFonts w:ascii="Arial" w:hAnsi="Arial" w:cs="Arial" w:hint="default"/>
        <w:b/>
        <w:rFonts w:cs="Arial"/>
      </w:rPr>
    </w:lvl>
    <w:lvl w:ilvl="1">
      <w:start w:val="1"/>
      <w:numFmt w:val="bullet"/>
      <w:lvlText w:val="o"/>
      <w:lvlJc w:val="left"/>
      <w:pPr>
        <w:ind w:left="1440" w:hanging="360"/>
      </w:pPr>
      <w:rPr>
        <w:rFonts w:ascii="Courier New" w:hAnsi="Courier New" w:cs="Courier New" w:hint="default"/>
        <w:b/>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0">
    <w:lvl w:ilvl="0">
      <w:start w:val="1"/>
      <w:numFmt w:val="decimal"/>
      <w:lvlText w:val="%1."/>
      <w:lvlJc w:val="left"/>
      <w:pPr>
        <w:ind w:left="720" w:hanging="360"/>
      </w:pPr>
      <w:rPr>
        <w:rFonts w:ascii="Times New Roman" w:hAnsi="Times New Roman" w:eastAsia="Batang"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2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707ce"/>
    <w:pPr>
      <w:widowControl/>
      <w:bidi w:val="0"/>
      <w:jc w:val="left"/>
    </w:pPr>
    <w:rPr>
      <w:rFonts w:ascii="Times" w:hAnsi="Times" w:eastAsia="Batang" w:cs="Times New Roman"/>
      <w:color w:val="00000A"/>
      <w:kern w:val="0"/>
      <w:sz w:val="20"/>
      <w:szCs w:val="24"/>
      <w:lang w:val="en-GB" w:eastAsia="en-US" w:bidi="ar-SA"/>
    </w:rPr>
  </w:style>
  <w:style w:type="paragraph" w:styleId="Heading1">
    <w:name w:val="Heading 1"/>
    <w:basedOn w:val="Normal"/>
    <w:next w:val="Normal"/>
    <w:link w:val="Heading1Char"/>
    <w:qFormat/>
    <w:rsid w:val="007707ce"/>
    <w:pPr>
      <w:keepNext w:val="true"/>
      <w:numPr>
        <w:ilvl w:val="0"/>
        <w:numId w:val="1"/>
      </w:numPr>
      <w:snapToGrid w:val="false"/>
      <w:spacing w:before="120" w:after="120"/>
      <w:jc w:val="both"/>
      <w:outlineLvl w:val="0"/>
    </w:pPr>
    <w:rPr>
      <w:rFonts w:ascii="Times New Roman" w:hAnsi="Times New Roman" w:eastAsia="SimSun"/>
      <w:b/>
      <w:bCs/>
      <w:sz w:val="28"/>
      <w:szCs w:val="28"/>
      <w:lang w:val="en-US"/>
    </w:rPr>
  </w:style>
  <w:style w:type="paragraph" w:styleId="Heading2">
    <w:name w:val="Heading 2"/>
    <w:basedOn w:val="Normal"/>
    <w:next w:val="Normal"/>
    <w:link w:val="Heading2Char"/>
    <w:qFormat/>
    <w:rsid w:val="007707ce"/>
    <w:pPr>
      <w:keepNext w:val="true"/>
      <w:numPr>
        <w:ilvl w:val="1"/>
        <w:numId w:val="1"/>
      </w:numPr>
      <w:snapToGrid w:val="false"/>
      <w:spacing w:before="120" w:after="120"/>
      <w:jc w:val="both"/>
      <w:outlineLvl w:val="1"/>
    </w:pPr>
    <w:rPr>
      <w:rFonts w:ascii="Times New Roman" w:hAnsi="Times New Roman" w:eastAsia="SimSun"/>
      <w:b/>
      <w:bCs/>
      <w:sz w:val="24"/>
      <w:szCs w:val="22"/>
      <w:lang w:val="en-US"/>
    </w:rPr>
  </w:style>
  <w:style w:type="paragraph" w:styleId="Heading3">
    <w:name w:val="Heading 3"/>
    <w:basedOn w:val="Normal"/>
    <w:next w:val="Normal"/>
    <w:link w:val="Heading3Char"/>
    <w:qFormat/>
    <w:rsid w:val="007707ce"/>
    <w:pPr>
      <w:keepNext w:val="true"/>
      <w:numPr>
        <w:ilvl w:val="2"/>
        <w:numId w:val="1"/>
      </w:numPr>
      <w:snapToGrid w:val="false"/>
      <w:spacing w:before="120" w:after="120"/>
      <w:jc w:val="both"/>
      <w:outlineLvl w:val="2"/>
    </w:pPr>
    <w:rPr>
      <w:rFonts w:ascii="Times New Roman" w:hAnsi="Times New Roman" w:eastAsia="SimSun"/>
      <w:b/>
      <w:sz w:val="22"/>
      <w:szCs w:val="22"/>
      <w:lang w:val="en-US"/>
    </w:rPr>
  </w:style>
  <w:style w:type="paragraph" w:styleId="Heading4">
    <w:name w:val="Heading 4"/>
    <w:basedOn w:val="Normal"/>
    <w:next w:val="Normal"/>
    <w:link w:val="Heading4Char"/>
    <w:qFormat/>
    <w:rsid w:val="007707ce"/>
    <w:pPr>
      <w:keepNext w:val="true"/>
      <w:numPr>
        <w:ilvl w:val="3"/>
        <w:numId w:val="1"/>
      </w:numPr>
      <w:snapToGrid w:val="false"/>
      <w:spacing w:before="120" w:after="120"/>
      <w:ind w:left="720" w:hanging="720"/>
      <w:jc w:val="both"/>
      <w:outlineLvl w:val="3"/>
    </w:pPr>
    <w:rPr>
      <w:rFonts w:ascii="Times New Roman" w:hAnsi="Times New Roman" w:eastAsia="SimSun"/>
      <w:b/>
      <w:bCs/>
      <w:sz w:val="22"/>
      <w:szCs w:val="28"/>
      <w:lang w:val="en-US"/>
    </w:rPr>
  </w:style>
  <w:style w:type="paragraph" w:styleId="Heading5">
    <w:name w:val="Heading 5"/>
    <w:basedOn w:val="Normal"/>
    <w:next w:val="Normal"/>
    <w:link w:val="Heading5Char"/>
    <w:qFormat/>
    <w:rsid w:val="007707ce"/>
    <w:pPr>
      <w:keepNext w:val="true"/>
      <w:numPr>
        <w:ilvl w:val="4"/>
        <w:numId w:val="1"/>
      </w:numPr>
      <w:snapToGrid w:val="false"/>
      <w:spacing w:before="120" w:after="120"/>
      <w:ind w:left="720" w:hanging="720"/>
      <w:jc w:val="both"/>
      <w:outlineLvl w:val="4"/>
    </w:pPr>
    <w:rPr>
      <w:rFonts w:ascii="Times New Roman" w:hAnsi="Times New Roman" w:eastAsia="SimSun"/>
      <w:b/>
      <w:bCs/>
      <w:i/>
      <w:iCs/>
      <w:sz w:val="22"/>
      <w:szCs w:val="26"/>
      <w:lang w:val="en-US"/>
    </w:rPr>
  </w:style>
  <w:style w:type="paragraph" w:styleId="Heading6">
    <w:name w:val="Heading 6"/>
    <w:basedOn w:val="Normal"/>
    <w:next w:val="Normal"/>
    <w:link w:val="Heading6Char"/>
    <w:qFormat/>
    <w:rsid w:val="007707ce"/>
    <w:pPr>
      <w:numPr>
        <w:ilvl w:val="5"/>
        <w:numId w:val="1"/>
      </w:numPr>
      <w:snapToGrid w:val="false"/>
      <w:spacing w:before="240" w:after="60"/>
      <w:jc w:val="both"/>
      <w:outlineLvl w:val="5"/>
    </w:pPr>
    <w:rPr>
      <w:rFonts w:ascii="Times New Roman" w:hAnsi="Times New Roman" w:eastAsia="SimSun"/>
      <w:b/>
      <w:bCs/>
      <w:sz w:val="22"/>
      <w:szCs w:val="22"/>
      <w:lang w:val="en-US"/>
    </w:rPr>
  </w:style>
  <w:style w:type="paragraph" w:styleId="Heading7">
    <w:name w:val="Heading 7"/>
    <w:basedOn w:val="Normal"/>
    <w:next w:val="Normal"/>
    <w:link w:val="Heading7Char"/>
    <w:qFormat/>
    <w:rsid w:val="007707ce"/>
    <w:pPr>
      <w:numPr>
        <w:ilvl w:val="6"/>
        <w:numId w:val="1"/>
      </w:numPr>
      <w:snapToGrid w:val="false"/>
      <w:spacing w:before="240" w:after="60"/>
      <w:jc w:val="both"/>
      <w:outlineLvl w:val="6"/>
    </w:pPr>
    <w:rPr>
      <w:rFonts w:ascii="Times New Roman" w:hAnsi="Times New Roman" w:eastAsia="SimSun"/>
      <w:sz w:val="24"/>
      <w:lang w:val="en-US"/>
    </w:rPr>
  </w:style>
  <w:style w:type="paragraph" w:styleId="Heading8">
    <w:name w:val="Heading 8"/>
    <w:basedOn w:val="Normal"/>
    <w:next w:val="Normal"/>
    <w:link w:val="Heading8Char"/>
    <w:qFormat/>
    <w:rsid w:val="007707ce"/>
    <w:pPr>
      <w:numPr>
        <w:ilvl w:val="7"/>
        <w:numId w:val="1"/>
      </w:numPr>
      <w:snapToGrid w:val="false"/>
      <w:spacing w:before="240" w:after="60"/>
      <w:jc w:val="both"/>
      <w:outlineLvl w:val="7"/>
    </w:pPr>
    <w:rPr>
      <w:rFonts w:ascii="Times New Roman" w:hAnsi="Times New Roman" w:eastAsia="SimSun"/>
      <w:i/>
      <w:iCs/>
      <w:sz w:val="24"/>
      <w:lang w:val="en-US"/>
    </w:rPr>
  </w:style>
  <w:style w:type="paragraph" w:styleId="Heading9">
    <w:name w:val="Heading 9"/>
    <w:basedOn w:val="Normal"/>
    <w:next w:val="Normal"/>
    <w:link w:val="Heading9Char"/>
    <w:qFormat/>
    <w:rsid w:val="007707ce"/>
    <w:pPr>
      <w:numPr>
        <w:ilvl w:val="8"/>
        <w:numId w:val="1"/>
      </w:numPr>
      <w:snapToGrid w:val="false"/>
      <w:spacing w:before="240" w:after="60"/>
      <w:jc w:val="both"/>
      <w:outlineLvl w:val="8"/>
    </w:pPr>
    <w:rPr>
      <w:rFonts w:ascii="Arial" w:hAnsi="Arial" w:eastAsia="SimSun" w:cs="Arial"/>
      <w:sz w:val="22"/>
      <w:szCs w:val="22"/>
      <w:lang w:val="en-US"/>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7707ce"/>
    <w:rPr>
      <w:rFonts w:ascii="Times New Roman" w:hAnsi="Times New Roman" w:eastAsia="SimSun" w:cs="Times New Roman"/>
      <w:b/>
      <w:bCs/>
      <w:sz w:val="28"/>
      <w:szCs w:val="28"/>
    </w:rPr>
  </w:style>
  <w:style w:type="character" w:styleId="Heading2Char" w:customStyle="1">
    <w:name w:val="Heading 2 Char"/>
    <w:basedOn w:val="DefaultParagraphFont"/>
    <w:link w:val="Heading2"/>
    <w:qFormat/>
    <w:rsid w:val="007707ce"/>
    <w:rPr>
      <w:rFonts w:ascii="Times New Roman" w:hAnsi="Times New Roman" w:eastAsia="SimSun" w:cs="Times New Roman"/>
      <w:b/>
      <w:bCs/>
      <w:sz w:val="24"/>
    </w:rPr>
  </w:style>
  <w:style w:type="character" w:styleId="Heading3Char" w:customStyle="1">
    <w:name w:val="Heading 3 Char"/>
    <w:basedOn w:val="DefaultParagraphFont"/>
    <w:link w:val="Heading3"/>
    <w:qFormat/>
    <w:rsid w:val="007707ce"/>
    <w:rPr>
      <w:rFonts w:ascii="Times New Roman" w:hAnsi="Times New Roman" w:eastAsia="SimSun" w:cs="Times New Roman"/>
      <w:b/>
    </w:rPr>
  </w:style>
  <w:style w:type="character" w:styleId="Heading4Char" w:customStyle="1">
    <w:name w:val="Heading 4 Char"/>
    <w:basedOn w:val="DefaultParagraphFont"/>
    <w:link w:val="Heading4"/>
    <w:qFormat/>
    <w:rsid w:val="007707ce"/>
    <w:rPr>
      <w:rFonts w:ascii="Times New Roman" w:hAnsi="Times New Roman" w:eastAsia="SimSun" w:cs="Times New Roman"/>
      <w:b/>
      <w:bCs/>
      <w:szCs w:val="28"/>
    </w:rPr>
  </w:style>
  <w:style w:type="character" w:styleId="Heading5Char" w:customStyle="1">
    <w:name w:val="Heading 5 Char"/>
    <w:basedOn w:val="DefaultParagraphFont"/>
    <w:link w:val="Heading5"/>
    <w:qFormat/>
    <w:rsid w:val="007707ce"/>
    <w:rPr>
      <w:rFonts w:ascii="Times New Roman" w:hAnsi="Times New Roman" w:eastAsia="SimSun" w:cs="Times New Roman"/>
      <w:b/>
      <w:bCs/>
      <w:i/>
      <w:iCs/>
      <w:szCs w:val="26"/>
    </w:rPr>
  </w:style>
  <w:style w:type="character" w:styleId="Heading6Char" w:customStyle="1">
    <w:name w:val="Heading 6 Char"/>
    <w:basedOn w:val="DefaultParagraphFont"/>
    <w:link w:val="Heading6"/>
    <w:qFormat/>
    <w:rsid w:val="007707ce"/>
    <w:rPr>
      <w:rFonts w:ascii="Times New Roman" w:hAnsi="Times New Roman" w:eastAsia="SimSun" w:cs="Times New Roman"/>
      <w:b/>
      <w:bCs/>
    </w:rPr>
  </w:style>
  <w:style w:type="character" w:styleId="Heading7Char" w:customStyle="1">
    <w:name w:val="Heading 7 Char"/>
    <w:basedOn w:val="DefaultParagraphFont"/>
    <w:link w:val="Heading7"/>
    <w:qFormat/>
    <w:rsid w:val="007707ce"/>
    <w:rPr>
      <w:rFonts w:ascii="Times New Roman" w:hAnsi="Times New Roman" w:eastAsia="SimSun" w:cs="Times New Roman"/>
      <w:sz w:val="24"/>
      <w:szCs w:val="24"/>
    </w:rPr>
  </w:style>
  <w:style w:type="character" w:styleId="Heading8Char" w:customStyle="1">
    <w:name w:val="Heading 8 Char"/>
    <w:basedOn w:val="DefaultParagraphFont"/>
    <w:link w:val="Heading8"/>
    <w:qFormat/>
    <w:rsid w:val="007707ce"/>
    <w:rPr>
      <w:rFonts w:ascii="Times New Roman" w:hAnsi="Times New Roman" w:eastAsia="SimSun" w:cs="Times New Roman"/>
      <w:i/>
      <w:iCs/>
      <w:sz w:val="24"/>
      <w:szCs w:val="24"/>
    </w:rPr>
  </w:style>
  <w:style w:type="character" w:styleId="Heading9Char" w:customStyle="1">
    <w:name w:val="Heading 9 Char"/>
    <w:basedOn w:val="DefaultParagraphFont"/>
    <w:link w:val="Heading9"/>
    <w:qFormat/>
    <w:rsid w:val="007707ce"/>
    <w:rPr>
      <w:rFonts w:ascii="Arial" w:hAnsi="Arial" w:eastAsia="SimSun" w:cs="Arial"/>
    </w:rPr>
  </w:style>
  <w:style w:type="character" w:styleId="BodyTextIndent2Char" w:customStyle="1">
    <w:name w:val="Body Text Indent 2 Char"/>
    <w:basedOn w:val="DefaultParagraphFont"/>
    <w:link w:val="BodyTextIndent2"/>
    <w:qFormat/>
    <w:rsid w:val="00b27d31"/>
    <w:rPr>
      <w:rFonts w:eastAsia="" w:eastAsiaTheme="minorEastAsia"/>
      <w:kern w:val="2"/>
      <w:lang w:eastAsia="ja-JP"/>
    </w:rPr>
  </w:style>
  <w:style w:type="character" w:styleId="PlaceholderText">
    <w:name w:val="Placeholder Text"/>
    <w:basedOn w:val="DefaultParagraphFont"/>
    <w:uiPriority w:val="99"/>
    <w:semiHidden/>
    <w:qFormat/>
    <w:rsid w:val="00be7f01"/>
    <w:rPr>
      <w:color w:val="808080"/>
    </w:rPr>
  </w:style>
  <w:style w:type="character" w:styleId="ListParagraphChar" w:customStyle="1">
    <w:name w:val="List Paragraph Char"/>
    <w:link w:val="ListParagraph"/>
    <w:uiPriority w:val="34"/>
    <w:qFormat/>
    <w:rsid w:val="00d0408c"/>
    <w:rPr>
      <w:rFonts w:ascii="SimSun" w:hAnsi="SimSun" w:eastAsia="SimSun" w:cs="SimSun"/>
      <w:sz w:val="24"/>
      <w:szCs w:val="24"/>
      <w:lang w:eastAsia="zh-CN"/>
    </w:rPr>
  </w:style>
  <w:style w:type="character" w:styleId="Annotationreference">
    <w:name w:val="annotation reference"/>
    <w:basedOn w:val="DefaultParagraphFont"/>
    <w:uiPriority w:val="99"/>
    <w:semiHidden/>
    <w:unhideWhenUsed/>
    <w:qFormat/>
    <w:rsid w:val="009b4c55"/>
    <w:rPr>
      <w:sz w:val="16"/>
      <w:szCs w:val="16"/>
    </w:rPr>
  </w:style>
  <w:style w:type="character" w:styleId="CommentTextChar" w:customStyle="1">
    <w:name w:val="Comment Text Char"/>
    <w:basedOn w:val="DefaultParagraphFont"/>
    <w:link w:val="CommentText"/>
    <w:uiPriority w:val="99"/>
    <w:semiHidden/>
    <w:qFormat/>
    <w:rsid w:val="009b4c55"/>
    <w:rPr>
      <w:rFonts w:ascii="Times" w:hAnsi="Times" w:eastAsia="Batang" w:cs="Times New Roman"/>
      <w:sz w:val="20"/>
      <w:szCs w:val="20"/>
      <w:lang w:val="en-GB"/>
    </w:rPr>
  </w:style>
  <w:style w:type="character" w:styleId="CommentSubjectChar" w:customStyle="1">
    <w:name w:val="Comment Subject Char"/>
    <w:basedOn w:val="CommentTextChar"/>
    <w:link w:val="CommentSubject"/>
    <w:uiPriority w:val="99"/>
    <w:semiHidden/>
    <w:qFormat/>
    <w:rsid w:val="009b4c55"/>
    <w:rPr>
      <w:rFonts w:ascii="Times" w:hAnsi="Times" w:eastAsia="Batang" w:cs="Times New Roman"/>
      <w:b/>
      <w:bCs/>
      <w:sz w:val="20"/>
      <w:szCs w:val="20"/>
      <w:lang w:val="en-GB"/>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Courier New"/>
    </w:rPr>
  </w:style>
  <w:style w:type="character" w:styleId="ListLabel10" w:customStyle="1">
    <w:name w:val="ListLabel 10"/>
    <w:qFormat/>
    <w:rPr>
      <w:i w:val="false"/>
      <w:lang w:val="en-US"/>
    </w:rPr>
  </w:style>
  <w:style w:type="character" w:styleId="ListLabel11" w:customStyle="1">
    <w:name w:val="ListLabel 11"/>
    <w:qFormat/>
    <w:rPr>
      <w:b/>
      <w:i w:val="false"/>
      <w:sz w:val="24"/>
      <w:effect w:val="none"/>
    </w:rPr>
  </w:style>
  <w:style w:type="character" w:styleId="ListLabel12" w:customStyle="1">
    <w:name w:val="ListLabel 12"/>
    <w:qFormat/>
    <w:rPr>
      <w:i w:val="false"/>
      <w:lang w:val="en-US"/>
    </w:rPr>
  </w:style>
  <w:style w:type="character" w:styleId="ListLabel13" w:customStyle="1">
    <w:name w:val="ListLabel 13"/>
    <w:qFormat/>
    <w:rPr>
      <w:b/>
      <w:i w:val="false"/>
      <w:sz w:val="24"/>
      <w:effect w:val="none"/>
    </w:rPr>
  </w:style>
  <w:style w:type="character" w:styleId="ListLabel14" w:customStyle="1">
    <w:name w:val="ListLabel 14"/>
    <w:qFormat/>
    <w:rPr>
      <w:i w:val="false"/>
      <w:lang w:val="en-US"/>
    </w:rPr>
  </w:style>
  <w:style w:type="character" w:styleId="ListLabel15" w:customStyle="1">
    <w:name w:val="ListLabel 15"/>
    <w:qFormat/>
    <w:rPr>
      <w:b/>
      <w:i w:val="false"/>
      <w:sz w:val="24"/>
      <w:effect w:val="none"/>
    </w:rPr>
  </w:style>
  <w:style w:type="character" w:styleId="ListLabel16" w:customStyle="1">
    <w:name w:val="ListLabel 16"/>
    <w:qFormat/>
    <w:rPr>
      <w:i w:val="false"/>
      <w:lang w:val="en-US"/>
    </w:rPr>
  </w:style>
  <w:style w:type="character" w:styleId="ListLabel17" w:customStyle="1">
    <w:name w:val="ListLabel 17"/>
    <w:qFormat/>
    <w:rPr>
      <w:b/>
      <w:i w:val="false"/>
      <w:sz w:val="24"/>
      <w:effect w:val="none"/>
    </w:rPr>
  </w:style>
  <w:style w:type="character" w:styleId="ListLabel18" w:customStyle="1">
    <w:name w:val="ListLabel 18"/>
    <w:qFormat/>
    <w:rPr>
      <w:i w:val="false"/>
      <w:lang w:val="en-US"/>
    </w:rPr>
  </w:style>
  <w:style w:type="character" w:styleId="ListLabel19" w:customStyle="1">
    <w:name w:val="ListLabel 19"/>
    <w:qFormat/>
    <w:rPr>
      <w:b/>
      <w:i w:val="false"/>
      <w:sz w:val="24"/>
      <w:effect w:val="none"/>
    </w:rPr>
  </w:style>
  <w:style w:type="character" w:styleId="ListLabel20" w:customStyle="1">
    <w:name w:val="ListLabel 20"/>
    <w:qFormat/>
    <w:rPr>
      <w:i w:val="false"/>
      <w:lang w:val="en-US"/>
    </w:rPr>
  </w:style>
  <w:style w:type="character" w:styleId="ListLabel21" w:customStyle="1">
    <w:name w:val="ListLabel 21"/>
    <w:qFormat/>
    <w:rPr>
      <w:b/>
      <w:i w:val="false"/>
      <w:sz w:val="24"/>
      <w:effect w:val="none"/>
    </w:rPr>
  </w:style>
  <w:style w:type="character" w:styleId="ListLabel22" w:customStyle="1">
    <w:name w:val="ListLabel 22"/>
    <w:qFormat/>
    <w:rPr>
      <w:rFonts w:cs="Courier New"/>
    </w:rPr>
  </w:style>
  <w:style w:type="character" w:styleId="ListLabel23" w:customStyle="1">
    <w:name w:val="ListLabel 23"/>
    <w:qFormat/>
    <w:rPr>
      <w:rFonts w:cs="Courier New"/>
    </w:rPr>
  </w:style>
  <w:style w:type="character" w:styleId="ListLabel24" w:customStyle="1">
    <w:name w:val="ListLabel 24"/>
    <w:qFormat/>
    <w:rPr>
      <w:rFonts w:cs="Courier New"/>
    </w:rPr>
  </w:style>
  <w:style w:type="character" w:styleId="ListLabel25" w:customStyle="1">
    <w:name w:val="ListLabel 25"/>
    <w:qFormat/>
    <w:rPr>
      <w:rFonts w:cs="Courier New"/>
    </w:rPr>
  </w:style>
  <w:style w:type="character" w:styleId="ListLabel26" w:customStyle="1">
    <w:name w:val="ListLabel 26"/>
    <w:qFormat/>
    <w:rPr>
      <w:rFonts w:cs="Courier New"/>
    </w:rPr>
  </w:style>
  <w:style w:type="character" w:styleId="ListLabel27" w:customStyle="1">
    <w:name w:val="ListLabel 27"/>
    <w:qFormat/>
    <w:rPr>
      <w:rFonts w:cs="Courier New"/>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rFonts w:cs="Courier New"/>
    </w:rPr>
  </w:style>
  <w:style w:type="character" w:styleId="ListLabel31" w:customStyle="1">
    <w:name w:val="ListLabel 31"/>
    <w:qFormat/>
    <w:rPr>
      <w:rFonts w:ascii="Times New Roman" w:hAnsi="Times New Roman"/>
      <w:sz w:val="20"/>
      <w:szCs w:val="20"/>
    </w:rPr>
  </w:style>
  <w:style w:type="character" w:styleId="InternetLink" w:customStyle="1">
    <w:name w:val="Internet Link"/>
    <w:rPr>
      <w:color w:val="000080"/>
      <w:u w:val="single"/>
    </w:rPr>
  </w:style>
  <w:style w:type="character" w:styleId="ListLabel32">
    <w:name w:val="ListLabel 32"/>
    <w:qFormat/>
    <w:rPr>
      <w:i w:val="false"/>
      <w:lang w:val="en-US"/>
    </w:rPr>
  </w:style>
  <w:style w:type="character" w:styleId="ListLabel33">
    <w:name w:val="ListLabel 33"/>
    <w:qFormat/>
    <w:rPr>
      <w:b/>
      <w:i w:val="false"/>
      <w:sz w:val="24"/>
      <w:effect w:val="none"/>
    </w:rPr>
  </w:style>
  <w:style w:type="character" w:styleId="ListLabel34">
    <w:name w:val="ListLabel 34"/>
    <w:qFormat/>
    <w:rPr>
      <w:i w:val="false"/>
      <w:lang w:val="en-US"/>
    </w:rPr>
  </w:style>
  <w:style w:type="character" w:styleId="ListLabel35">
    <w:name w:val="ListLabel 35"/>
    <w:qFormat/>
    <w:rPr>
      <w:b/>
      <w:i w:val="false"/>
      <w:sz w:val="24"/>
      <w:effect w:val="none"/>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eastAsia="Times New Roman" w:cs="Arial"/>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i w:val="false"/>
      <w:lang w:val="en-US"/>
    </w:rPr>
  </w:style>
  <w:style w:type="character" w:styleId="ListLabel50">
    <w:name w:val="ListLabel 50"/>
    <w:qFormat/>
    <w:rPr>
      <w:b/>
      <w:i w:val="false"/>
      <w:sz w:val="24"/>
      <w:effect w:val="none"/>
    </w:rPr>
  </w:style>
  <w:style w:type="character" w:styleId="ListLabel51">
    <w:name w:val="ListLabel 51"/>
    <w:qFormat/>
    <w:rPr>
      <w:rFonts w:ascii="Times New Roman" w:hAnsi="Times New Roman" w:cs="Wingdings"/>
      <w:sz w:val="24"/>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Symbol"/>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ascii="Times New Roman" w:hAnsi="Times New Roman" w:cs="Symbol"/>
    </w:rPr>
  </w:style>
  <w:style w:type="character" w:styleId="ListLabel61">
    <w:name w:val="ListLabel 61"/>
    <w:qFormat/>
    <w:rPr>
      <w:rFonts w:ascii="Times New Roman" w:hAnsi="Times New Roman" w:cs="Courier New"/>
      <w:b/>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ListLabel66">
    <w:name w:val="ListLabel 66"/>
    <w:qFormat/>
    <w:rPr>
      <w:rFonts w:cs="Symbol"/>
    </w:rPr>
  </w:style>
  <w:style w:type="character" w:styleId="ListLabel67">
    <w:name w:val="ListLabel 67"/>
    <w:qFormat/>
    <w:rPr>
      <w:rFonts w:cs="Courier New"/>
    </w:rPr>
  </w:style>
  <w:style w:type="character" w:styleId="ListLabel68">
    <w:name w:val="ListLabel 68"/>
    <w:qFormat/>
    <w:rPr>
      <w:rFonts w:cs="Wingdings"/>
    </w:rPr>
  </w:style>
  <w:style w:type="character" w:styleId="ListLabel69">
    <w:name w:val="ListLabel 69"/>
    <w:qFormat/>
    <w:rPr>
      <w:rFonts w:cs="Arial"/>
      <w:b/>
    </w:rPr>
  </w:style>
  <w:style w:type="character" w:styleId="ListLabel70">
    <w:name w:val="ListLabel 70"/>
    <w:qFormat/>
    <w:rPr>
      <w:rFonts w:ascii="Times New Roman" w:hAnsi="Times New Roman" w:cs="Courier New"/>
      <w:b/>
    </w:rPr>
  </w:style>
  <w:style w:type="character" w:styleId="ListLabel71">
    <w:name w:val="ListLabel 71"/>
    <w:qFormat/>
    <w:rPr>
      <w:rFonts w:ascii="Times New Roman" w:hAnsi="Times New Roman" w:cs="Wingdings"/>
    </w:rPr>
  </w:style>
  <w:style w:type="character" w:styleId="ListLabel72">
    <w:name w:val="ListLabel 72"/>
    <w:qFormat/>
    <w:rPr>
      <w:rFonts w:cs="Symbol"/>
    </w:rPr>
  </w:style>
  <w:style w:type="character" w:styleId="ListLabel73">
    <w:name w:val="ListLabel 73"/>
    <w:qFormat/>
    <w:rPr>
      <w:rFonts w:cs="Courier New"/>
    </w:rPr>
  </w:style>
  <w:style w:type="character" w:styleId="ListLabel74">
    <w:name w:val="ListLabel 74"/>
    <w:qFormat/>
    <w:rPr>
      <w:rFonts w:cs="Wingdings"/>
    </w:rPr>
  </w:style>
  <w:style w:type="character" w:styleId="ListLabel75">
    <w:name w:val="ListLabel 75"/>
    <w:qFormat/>
    <w:rPr>
      <w:rFonts w:cs="Symbol"/>
    </w:rPr>
  </w:style>
  <w:style w:type="character" w:styleId="ListLabel76">
    <w:name w:val="ListLabel 76"/>
    <w:qFormat/>
    <w:rPr>
      <w:rFonts w:cs="Courier New"/>
    </w:rPr>
  </w:style>
  <w:style w:type="character" w:styleId="ListLabel77">
    <w:name w:val="ListLabel 77"/>
    <w:qFormat/>
    <w:rPr>
      <w:rFonts w:cs="Wingdings"/>
    </w:rPr>
  </w:style>
  <w:style w:type="character" w:styleId="ListLabel78">
    <w:name w:val="ListLabel 78"/>
    <w:qFormat/>
    <w:rPr>
      <w:rFonts w:ascii="Times New Roman" w:hAnsi="Times New Roman" w:eastAsia="Batang" w:cs="Times New Roman"/>
    </w:rPr>
  </w:style>
  <w:style w:type="character" w:styleId="ListLabel79">
    <w:name w:val="ListLabel 79"/>
    <w:qFormat/>
    <w:rPr/>
  </w:style>
  <w:style w:type="character" w:styleId="ListLabel80">
    <w:name w:val="ListLabel 80"/>
    <w:qFormat/>
    <w:rPr>
      <w:i w:val="false"/>
      <w:lang w:val="en-US"/>
    </w:rPr>
  </w:style>
  <w:style w:type="character" w:styleId="ListLabel81">
    <w:name w:val="ListLabel 81"/>
    <w:qFormat/>
    <w:rPr>
      <w:b/>
      <w:i w:val="false"/>
      <w:sz w:val="24"/>
      <w:effect w:val="none"/>
    </w:rPr>
  </w:style>
  <w:style w:type="character" w:styleId="ListLabel82">
    <w:name w:val="ListLabel 82"/>
    <w:qFormat/>
    <w:rPr>
      <w:i w:val="false"/>
      <w:lang w:val="en-US"/>
    </w:rPr>
  </w:style>
  <w:style w:type="character" w:styleId="ListLabel83">
    <w:name w:val="ListLabel 83"/>
    <w:qFormat/>
    <w:rPr>
      <w:b/>
      <w:i w:val="false"/>
      <w:sz w:val="24"/>
      <w:effect w:val="none"/>
    </w:rPr>
  </w:style>
  <w:style w:type="character" w:styleId="ListLabel84">
    <w:name w:val="ListLabel 84"/>
    <w:qFormat/>
    <w:rPr>
      <w:i w:val="false"/>
      <w:lang w:val="en-US"/>
    </w:rPr>
  </w:style>
  <w:style w:type="character" w:styleId="ListLabel85">
    <w:name w:val="ListLabel 85"/>
    <w:qFormat/>
    <w:rPr>
      <w:b/>
      <w:i w:val="false"/>
      <w:sz w:val="24"/>
      <w:effect w:val="none"/>
    </w:rPr>
  </w:style>
  <w:style w:type="character" w:styleId="ListLabel86">
    <w:name w:val="ListLabel 86"/>
    <w:qFormat/>
    <w:rPr>
      <w:rFonts w:cs="Tw Cen MT"/>
      <w:sz w:val="24"/>
    </w:rPr>
  </w:style>
  <w:style w:type="character" w:styleId="ListLabel87">
    <w:name w:val="ListLabel 87"/>
    <w:qFormat/>
    <w:rPr>
      <w:rFonts w:cs="Tw Cen MT"/>
    </w:rPr>
  </w:style>
  <w:style w:type="character" w:styleId="ListLabel88">
    <w:name w:val="ListLabel 88"/>
    <w:qFormat/>
    <w:rPr>
      <w:rFonts w:cs="Tw Cen MT"/>
    </w:rPr>
  </w:style>
  <w:style w:type="character" w:styleId="ListLabel89">
    <w:name w:val="ListLabel 89"/>
    <w:qFormat/>
    <w:rPr>
      <w:rFonts w:cs="Tw Cen MT"/>
    </w:rPr>
  </w:style>
  <w:style w:type="character" w:styleId="ListLabel90">
    <w:name w:val="ListLabel 90"/>
    <w:qFormat/>
    <w:rPr>
      <w:rFonts w:cs="Tw Cen MT"/>
    </w:rPr>
  </w:style>
  <w:style w:type="character" w:styleId="ListLabel91">
    <w:name w:val="ListLabel 91"/>
    <w:qFormat/>
    <w:rPr>
      <w:rFonts w:cs="Tw Cen MT"/>
    </w:rPr>
  </w:style>
  <w:style w:type="character" w:styleId="ListLabel92">
    <w:name w:val="ListLabel 92"/>
    <w:qFormat/>
    <w:rPr>
      <w:rFonts w:cs="Tw Cen MT"/>
    </w:rPr>
  </w:style>
  <w:style w:type="character" w:styleId="ListLabel93">
    <w:name w:val="ListLabel 93"/>
    <w:qFormat/>
    <w:rPr>
      <w:rFonts w:cs="Tw Cen MT"/>
    </w:rPr>
  </w:style>
  <w:style w:type="character" w:styleId="ListLabel94">
    <w:name w:val="ListLabel 94"/>
    <w:qFormat/>
    <w:rPr>
      <w:rFonts w:cs="Tw Cen MT"/>
    </w:rPr>
  </w:style>
  <w:style w:type="character" w:styleId="ListLabel95">
    <w:name w:val="ListLabel 95"/>
    <w:qFormat/>
    <w:rPr>
      <w:rFonts w:cs="Symbol"/>
      <w:sz w:val="24"/>
    </w:rPr>
  </w:style>
  <w:style w:type="character" w:styleId="ListLabel96">
    <w:name w:val="ListLabel 96"/>
    <w:qFormat/>
    <w:rPr>
      <w:rFonts w:cs="Courier New"/>
      <w:sz w:val="24"/>
    </w:rPr>
  </w:style>
  <w:style w:type="character" w:styleId="ListLabel97">
    <w:name w:val="ListLabel 97"/>
    <w:qFormat/>
    <w:rPr>
      <w:rFonts w:cs="Symbol"/>
    </w:rPr>
  </w:style>
  <w:style w:type="character" w:styleId="ListLabel98">
    <w:name w:val="ListLabel 98"/>
    <w:qFormat/>
    <w:rPr>
      <w:rFonts w:cs="Symbol"/>
    </w:rPr>
  </w:style>
  <w:style w:type="character" w:styleId="ListLabel99">
    <w:name w:val="ListLabel 99"/>
    <w:qFormat/>
    <w:rPr>
      <w:rFonts w:cs="Symbol"/>
    </w:rPr>
  </w:style>
  <w:style w:type="character" w:styleId="ListLabel100">
    <w:name w:val="ListLabel 100"/>
    <w:qFormat/>
    <w:rPr>
      <w:rFonts w:cs="Symbol"/>
    </w:rPr>
  </w:style>
  <w:style w:type="character" w:styleId="ListLabel101">
    <w:name w:val="ListLabel 101"/>
    <w:qFormat/>
    <w:rPr>
      <w:rFonts w:cs="Symbol"/>
    </w:rPr>
  </w:style>
  <w:style w:type="character" w:styleId="ListLabel102">
    <w:name w:val="ListLabel 102"/>
    <w:qFormat/>
    <w:rPr>
      <w:rFonts w:cs="Symbol"/>
    </w:rPr>
  </w:style>
  <w:style w:type="character" w:styleId="ListLabel103">
    <w:name w:val="ListLabel 103"/>
    <w:qFormat/>
    <w:rPr>
      <w:rFonts w:cs="Symbol"/>
    </w:rPr>
  </w:style>
  <w:style w:type="character" w:styleId="ListLabel104">
    <w:name w:val="ListLabel 104"/>
    <w:qFormat/>
    <w:rPr>
      <w:rFonts w:ascii="Times New Roman" w:hAnsi="Times New Roman" w:cs="Wingdings"/>
      <w:sz w:val="24"/>
    </w:rPr>
  </w:style>
  <w:style w:type="character" w:styleId="ListLabel105">
    <w:name w:val="ListLabel 105"/>
    <w:qFormat/>
    <w:rPr>
      <w:rFonts w:cs="Courier New"/>
    </w:rPr>
  </w:style>
  <w:style w:type="character" w:styleId="ListLabel106">
    <w:name w:val="ListLabel 106"/>
    <w:qFormat/>
    <w:rPr>
      <w:rFonts w:cs="Wingdings"/>
    </w:rPr>
  </w:style>
  <w:style w:type="character" w:styleId="ListLabel107">
    <w:name w:val="ListLabel 107"/>
    <w:qFormat/>
    <w:rPr>
      <w:rFonts w:cs="Symbol"/>
    </w:rPr>
  </w:style>
  <w:style w:type="character" w:styleId="ListLabel108">
    <w:name w:val="ListLabel 108"/>
    <w:qFormat/>
    <w:rPr>
      <w:rFonts w:cs="Courier New"/>
    </w:rPr>
  </w:style>
  <w:style w:type="character" w:styleId="ListLabel109">
    <w:name w:val="ListLabel 109"/>
    <w:qFormat/>
    <w:rPr>
      <w:rFonts w:cs="Wingdings"/>
    </w:rPr>
  </w:style>
  <w:style w:type="character" w:styleId="ListLabel110">
    <w:name w:val="ListLabel 110"/>
    <w:qFormat/>
    <w:rPr>
      <w:rFonts w:cs="Symbol"/>
    </w:rPr>
  </w:style>
  <w:style w:type="character" w:styleId="ListLabel111">
    <w:name w:val="ListLabel 111"/>
    <w:qFormat/>
    <w:rPr>
      <w:rFonts w:cs="Courier New"/>
    </w:rPr>
  </w:style>
  <w:style w:type="character" w:styleId="ListLabel112">
    <w:name w:val="ListLabel 112"/>
    <w:qFormat/>
    <w:rPr>
      <w:rFonts w:cs="Wingdings"/>
    </w:rPr>
  </w:style>
  <w:style w:type="character" w:styleId="ListLabel113">
    <w:name w:val="ListLabel 113"/>
    <w:qFormat/>
    <w:rPr>
      <w:rFonts w:ascii="Times New Roman" w:hAnsi="Times New Roman" w:cs="Symbol"/>
    </w:rPr>
  </w:style>
  <w:style w:type="character" w:styleId="ListLabel114">
    <w:name w:val="ListLabel 114"/>
    <w:qFormat/>
    <w:rPr>
      <w:rFonts w:ascii="Times New Roman" w:hAnsi="Times New Roman" w:cs="Courier New"/>
      <w:b/>
    </w:rPr>
  </w:style>
  <w:style w:type="character" w:styleId="ListLabel115">
    <w:name w:val="ListLabel 115"/>
    <w:qFormat/>
    <w:rPr>
      <w:rFonts w:cs="Wingdings"/>
    </w:rPr>
  </w:style>
  <w:style w:type="character" w:styleId="ListLabel116">
    <w:name w:val="ListLabel 116"/>
    <w:qFormat/>
    <w:rPr>
      <w:rFonts w:cs="Symbol"/>
    </w:rPr>
  </w:style>
  <w:style w:type="character" w:styleId="ListLabel117">
    <w:name w:val="ListLabel 117"/>
    <w:qFormat/>
    <w:rPr>
      <w:rFonts w:cs="Courier New"/>
    </w:rPr>
  </w:style>
  <w:style w:type="character" w:styleId="ListLabel118">
    <w:name w:val="ListLabel 118"/>
    <w:qFormat/>
    <w:rPr>
      <w:rFonts w:cs="Wingdings"/>
    </w:rPr>
  </w:style>
  <w:style w:type="character" w:styleId="ListLabel119">
    <w:name w:val="ListLabel 119"/>
    <w:qFormat/>
    <w:rPr>
      <w:rFonts w:cs="Symbol"/>
    </w:rPr>
  </w:style>
  <w:style w:type="character" w:styleId="ListLabel120">
    <w:name w:val="ListLabel 120"/>
    <w:qFormat/>
    <w:rPr>
      <w:rFonts w:cs="Courier New"/>
    </w:rPr>
  </w:style>
  <w:style w:type="character" w:styleId="ListLabel121">
    <w:name w:val="ListLabel 121"/>
    <w:qFormat/>
    <w:rPr>
      <w:rFonts w:cs="Wingdings"/>
    </w:rPr>
  </w:style>
  <w:style w:type="character" w:styleId="ListLabel122">
    <w:name w:val="ListLabel 122"/>
    <w:qFormat/>
    <w:rPr>
      <w:rFonts w:cs="Arial"/>
      <w:b/>
    </w:rPr>
  </w:style>
  <w:style w:type="character" w:styleId="ListLabel123">
    <w:name w:val="ListLabel 123"/>
    <w:qFormat/>
    <w:rPr>
      <w:rFonts w:ascii="Times New Roman" w:hAnsi="Times New Roman" w:cs="Courier New"/>
      <w:b/>
    </w:rPr>
  </w:style>
  <w:style w:type="character" w:styleId="ListLabel124">
    <w:name w:val="ListLabel 124"/>
    <w:qFormat/>
    <w:rPr>
      <w:rFonts w:ascii="Times New Roman" w:hAnsi="Times New Roman" w:cs="Wingdings"/>
    </w:rPr>
  </w:style>
  <w:style w:type="character" w:styleId="ListLabel125">
    <w:name w:val="ListLabel 125"/>
    <w:qFormat/>
    <w:rPr>
      <w:rFonts w:cs="Symbol"/>
    </w:rPr>
  </w:style>
  <w:style w:type="character" w:styleId="ListLabel126">
    <w:name w:val="ListLabel 126"/>
    <w:qFormat/>
    <w:rPr>
      <w:rFonts w:cs="Courier New"/>
    </w:rPr>
  </w:style>
  <w:style w:type="character" w:styleId="ListLabel127">
    <w:name w:val="ListLabel 127"/>
    <w:qFormat/>
    <w:rPr>
      <w:rFonts w:cs="Wingdings"/>
    </w:rPr>
  </w:style>
  <w:style w:type="character" w:styleId="ListLabel128">
    <w:name w:val="ListLabel 128"/>
    <w:qFormat/>
    <w:rPr>
      <w:rFonts w:cs="Symbol"/>
    </w:rPr>
  </w:style>
  <w:style w:type="character" w:styleId="ListLabel129">
    <w:name w:val="ListLabel 129"/>
    <w:qFormat/>
    <w:rPr>
      <w:rFonts w:cs="Courier New"/>
    </w:rPr>
  </w:style>
  <w:style w:type="character" w:styleId="ListLabel130">
    <w:name w:val="ListLabel 130"/>
    <w:qFormat/>
    <w:rPr>
      <w:rFonts w:cs="Wingdings"/>
    </w:rPr>
  </w:style>
  <w:style w:type="character" w:styleId="ListLabel131">
    <w:name w:val="ListLabel 131"/>
    <w:qFormat/>
    <w:rPr>
      <w:rFonts w:ascii="Times New Roman" w:hAnsi="Times New Roman" w:eastAsia="Batang" w:cs="Times New Roman"/>
    </w:rPr>
  </w:style>
  <w:style w:type="character" w:styleId="ListLabel132">
    <w:name w:val="ListLabel 132"/>
    <w:qFormat/>
    <w:rPr/>
  </w:style>
  <w:style w:type="character" w:styleId="ListLabel133">
    <w:name w:val="ListLabel 133"/>
    <w:qFormat/>
    <w:rPr>
      <w:i w:val="false"/>
      <w:lang w:val="en-US"/>
    </w:rPr>
  </w:style>
  <w:style w:type="character" w:styleId="ListLabel134">
    <w:name w:val="ListLabel 134"/>
    <w:qFormat/>
    <w:rPr>
      <w:b/>
      <w:i w:val="false"/>
      <w:sz w:val="24"/>
      <w:effect w:val="none"/>
    </w:rPr>
  </w:style>
  <w:style w:type="character" w:styleId="ListLabel135">
    <w:name w:val="ListLabel 135"/>
    <w:qFormat/>
    <w:rPr>
      <w:i w:val="false"/>
      <w:lang w:val="en-US"/>
    </w:rPr>
  </w:style>
  <w:style w:type="character" w:styleId="ListLabel136">
    <w:name w:val="ListLabel 136"/>
    <w:qFormat/>
    <w:rPr>
      <w:b/>
      <w:i w:val="false"/>
      <w:sz w:val="24"/>
      <w:effect w:val="none"/>
    </w:rPr>
  </w:style>
  <w:style w:type="character" w:styleId="ListLabel137">
    <w:name w:val="ListLabel 137"/>
    <w:qFormat/>
    <w:rPr>
      <w:i w:val="false"/>
      <w:lang w:val="en-US"/>
    </w:rPr>
  </w:style>
  <w:style w:type="character" w:styleId="ListLabel138">
    <w:name w:val="ListLabel 138"/>
    <w:qFormat/>
    <w:rPr>
      <w:b/>
      <w:i w:val="false"/>
      <w:sz w:val="24"/>
      <w:effect w:val="none"/>
    </w:rPr>
  </w:style>
  <w:style w:type="character" w:styleId="ListLabel139">
    <w:name w:val="ListLabel 139"/>
    <w:qFormat/>
    <w:rPr>
      <w:rFonts w:cs="Tw Cen MT"/>
      <w:sz w:val="24"/>
    </w:rPr>
  </w:style>
  <w:style w:type="character" w:styleId="ListLabel140">
    <w:name w:val="ListLabel 140"/>
    <w:qFormat/>
    <w:rPr>
      <w:rFonts w:cs="Tw Cen MT"/>
    </w:rPr>
  </w:style>
  <w:style w:type="character" w:styleId="ListLabel141">
    <w:name w:val="ListLabel 141"/>
    <w:qFormat/>
    <w:rPr>
      <w:rFonts w:cs="Tw Cen MT"/>
    </w:rPr>
  </w:style>
  <w:style w:type="character" w:styleId="ListLabel142">
    <w:name w:val="ListLabel 142"/>
    <w:qFormat/>
    <w:rPr>
      <w:rFonts w:cs="Tw Cen MT"/>
    </w:rPr>
  </w:style>
  <w:style w:type="character" w:styleId="ListLabel143">
    <w:name w:val="ListLabel 143"/>
    <w:qFormat/>
    <w:rPr>
      <w:rFonts w:cs="Tw Cen MT"/>
    </w:rPr>
  </w:style>
  <w:style w:type="character" w:styleId="ListLabel144">
    <w:name w:val="ListLabel 144"/>
    <w:qFormat/>
    <w:rPr>
      <w:rFonts w:cs="Tw Cen MT"/>
    </w:rPr>
  </w:style>
  <w:style w:type="character" w:styleId="ListLabel145">
    <w:name w:val="ListLabel 145"/>
    <w:qFormat/>
    <w:rPr>
      <w:rFonts w:cs="Tw Cen MT"/>
    </w:rPr>
  </w:style>
  <w:style w:type="character" w:styleId="ListLabel146">
    <w:name w:val="ListLabel 146"/>
    <w:qFormat/>
    <w:rPr>
      <w:rFonts w:cs="Tw Cen MT"/>
    </w:rPr>
  </w:style>
  <w:style w:type="character" w:styleId="ListLabel147">
    <w:name w:val="ListLabel 147"/>
    <w:qFormat/>
    <w:rPr>
      <w:rFonts w:cs="Tw Cen MT"/>
    </w:rPr>
  </w:style>
  <w:style w:type="character" w:styleId="ListLabel148">
    <w:name w:val="ListLabel 148"/>
    <w:qFormat/>
    <w:rPr>
      <w:rFonts w:cs="Symbol"/>
      <w:sz w:val="24"/>
    </w:rPr>
  </w:style>
  <w:style w:type="character" w:styleId="ListLabel149">
    <w:name w:val="ListLabel 149"/>
    <w:qFormat/>
    <w:rPr>
      <w:rFonts w:cs="Courier New"/>
      <w:sz w:val="24"/>
    </w:rPr>
  </w:style>
  <w:style w:type="character" w:styleId="ListLabel150">
    <w:name w:val="ListLabel 150"/>
    <w:qFormat/>
    <w:rPr>
      <w:rFonts w:cs="Symbol"/>
    </w:rPr>
  </w:style>
  <w:style w:type="character" w:styleId="ListLabel151">
    <w:name w:val="ListLabel 151"/>
    <w:qFormat/>
    <w:rPr>
      <w:rFonts w:cs="Symbol"/>
    </w:rPr>
  </w:style>
  <w:style w:type="character" w:styleId="ListLabel152">
    <w:name w:val="ListLabel 152"/>
    <w:qFormat/>
    <w:rPr>
      <w:rFonts w:cs="Symbol"/>
    </w:rPr>
  </w:style>
  <w:style w:type="character" w:styleId="ListLabel153">
    <w:name w:val="ListLabel 153"/>
    <w:qFormat/>
    <w:rPr>
      <w:rFonts w:cs="Symbol"/>
    </w:rPr>
  </w:style>
  <w:style w:type="character" w:styleId="ListLabel154">
    <w:name w:val="ListLabel 154"/>
    <w:qFormat/>
    <w:rPr>
      <w:rFonts w:cs="Symbol"/>
    </w:rPr>
  </w:style>
  <w:style w:type="character" w:styleId="ListLabel155">
    <w:name w:val="ListLabel 155"/>
    <w:qFormat/>
    <w:rPr>
      <w:rFonts w:cs="Symbol"/>
    </w:rPr>
  </w:style>
  <w:style w:type="character" w:styleId="ListLabel156">
    <w:name w:val="ListLabel 156"/>
    <w:qFormat/>
    <w:rPr>
      <w:rFonts w:cs="Symbol"/>
    </w:rPr>
  </w:style>
  <w:style w:type="character" w:styleId="ListLabel157">
    <w:name w:val="ListLabel 157"/>
    <w:qFormat/>
    <w:rPr>
      <w:rFonts w:ascii="Times New Roman" w:hAnsi="Times New Roman" w:cs="Wingdings"/>
      <w:sz w:val="24"/>
    </w:rPr>
  </w:style>
  <w:style w:type="character" w:styleId="ListLabel158">
    <w:name w:val="ListLabel 158"/>
    <w:qFormat/>
    <w:rPr>
      <w:rFonts w:cs="Courier New"/>
    </w:rPr>
  </w:style>
  <w:style w:type="character" w:styleId="ListLabel159">
    <w:name w:val="ListLabel 159"/>
    <w:qFormat/>
    <w:rPr>
      <w:rFonts w:cs="Wingdings"/>
    </w:rPr>
  </w:style>
  <w:style w:type="character" w:styleId="ListLabel160">
    <w:name w:val="ListLabel 160"/>
    <w:qFormat/>
    <w:rPr>
      <w:rFonts w:cs="Symbol"/>
    </w:rPr>
  </w:style>
  <w:style w:type="character" w:styleId="ListLabel161">
    <w:name w:val="ListLabel 161"/>
    <w:qFormat/>
    <w:rPr>
      <w:rFonts w:cs="Courier New"/>
    </w:rPr>
  </w:style>
  <w:style w:type="character" w:styleId="ListLabel162">
    <w:name w:val="ListLabel 162"/>
    <w:qFormat/>
    <w:rPr>
      <w:rFonts w:cs="Wingdings"/>
    </w:rPr>
  </w:style>
  <w:style w:type="character" w:styleId="ListLabel163">
    <w:name w:val="ListLabel 163"/>
    <w:qFormat/>
    <w:rPr>
      <w:rFonts w:cs="Symbol"/>
    </w:rPr>
  </w:style>
  <w:style w:type="character" w:styleId="ListLabel164">
    <w:name w:val="ListLabel 164"/>
    <w:qFormat/>
    <w:rPr>
      <w:rFonts w:cs="Courier New"/>
    </w:rPr>
  </w:style>
  <w:style w:type="character" w:styleId="ListLabel165">
    <w:name w:val="ListLabel 165"/>
    <w:qFormat/>
    <w:rPr>
      <w:rFonts w:cs="Wingdings"/>
    </w:rPr>
  </w:style>
  <w:style w:type="character" w:styleId="ListLabel166">
    <w:name w:val="ListLabel 166"/>
    <w:qFormat/>
    <w:rPr>
      <w:rFonts w:ascii="Times New Roman" w:hAnsi="Times New Roman" w:cs="Symbol"/>
    </w:rPr>
  </w:style>
  <w:style w:type="character" w:styleId="ListLabel167">
    <w:name w:val="ListLabel 167"/>
    <w:qFormat/>
    <w:rPr>
      <w:rFonts w:ascii="Times New Roman" w:hAnsi="Times New Roman" w:cs="Courier New"/>
      <w:b/>
    </w:rPr>
  </w:style>
  <w:style w:type="character" w:styleId="ListLabel168">
    <w:name w:val="ListLabel 168"/>
    <w:qFormat/>
    <w:rPr>
      <w:rFonts w:cs="Wingdings"/>
    </w:rPr>
  </w:style>
  <w:style w:type="character" w:styleId="ListLabel169">
    <w:name w:val="ListLabel 169"/>
    <w:qFormat/>
    <w:rPr>
      <w:rFonts w:cs="Symbol"/>
    </w:rPr>
  </w:style>
  <w:style w:type="character" w:styleId="ListLabel170">
    <w:name w:val="ListLabel 170"/>
    <w:qFormat/>
    <w:rPr>
      <w:rFonts w:cs="Courier New"/>
    </w:rPr>
  </w:style>
  <w:style w:type="character" w:styleId="ListLabel171">
    <w:name w:val="ListLabel 171"/>
    <w:qFormat/>
    <w:rPr>
      <w:rFonts w:cs="Wingdings"/>
    </w:rPr>
  </w:style>
  <w:style w:type="character" w:styleId="ListLabel172">
    <w:name w:val="ListLabel 172"/>
    <w:qFormat/>
    <w:rPr>
      <w:rFonts w:cs="Symbol"/>
    </w:rPr>
  </w:style>
  <w:style w:type="character" w:styleId="ListLabel173">
    <w:name w:val="ListLabel 173"/>
    <w:qFormat/>
    <w:rPr>
      <w:rFonts w:cs="Courier New"/>
    </w:rPr>
  </w:style>
  <w:style w:type="character" w:styleId="ListLabel174">
    <w:name w:val="ListLabel 174"/>
    <w:qFormat/>
    <w:rPr>
      <w:rFonts w:cs="Wingdings"/>
    </w:rPr>
  </w:style>
  <w:style w:type="character" w:styleId="ListLabel175">
    <w:name w:val="ListLabel 175"/>
    <w:qFormat/>
    <w:rPr>
      <w:rFonts w:cs="Arial"/>
      <w:b/>
    </w:rPr>
  </w:style>
  <w:style w:type="character" w:styleId="ListLabel176">
    <w:name w:val="ListLabel 176"/>
    <w:qFormat/>
    <w:rPr>
      <w:rFonts w:ascii="Times New Roman" w:hAnsi="Times New Roman" w:cs="Courier New"/>
      <w:b/>
    </w:rPr>
  </w:style>
  <w:style w:type="character" w:styleId="ListLabel177">
    <w:name w:val="ListLabel 177"/>
    <w:qFormat/>
    <w:rPr>
      <w:rFonts w:ascii="Times New Roman" w:hAnsi="Times New Roman" w:cs="Wingdings"/>
    </w:rPr>
  </w:style>
  <w:style w:type="character" w:styleId="ListLabel178">
    <w:name w:val="ListLabel 178"/>
    <w:qFormat/>
    <w:rPr>
      <w:rFonts w:cs="Symbol"/>
    </w:rPr>
  </w:style>
  <w:style w:type="character" w:styleId="ListLabel179">
    <w:name w:val="ListLabel 179"/>
    <w:qFormat/>
    <w:rPr>
      <w:rFonts w:cs="Courier New"/>
    </w:rPr>
  </w:style>
  <w:style w:type="character" w:styleId="ListLabel180">
    <w:name w:val="ListLabel 180"/>
    <w:qFormat/>
    <w:rPr>
      <w:rFonts w:cs="Wingdings"/>
    </w:rPr>
  </w:style>
  <w:style w:type="character" w:styleId="ListLabel181">
    <w:name w:val="ListLabel 181"/>
    <w:qFormat/>
    <w:rPr>
      <w:rFonts w:cs="Symbol"/>
    </w:rPr>
  </w:style>
  <w:style w:type="character" w:styleId="ListLabel182">
    <w:name w:val="ListLabel 182"/>
    <w:qFormat/>
    <w:rPr>
      <w:rFonts w:cs="Courier New"/>
    </w:rPr>
  </w:style>
  <w:style w:type="character" w:styleId="ListLabel183">
    <w:name w:val="ListLabel 183"/>
    <w:qFormat/>
    <w:rPr>
      <w:rFonts w:cs="Wingdings"/>
    </w:rPr>
  </w:style>
  <w:style w:type="character" w:styleId="ListLabel184">
    <w:name w:val="ListLabel 184"/>
    <w:qFormat/>
    <w:rPr>
      <w:rFonts w:ascii="Times New Roman" w:hAnsi="Times New Roman" w:eastAsia="Batang" w:cs="Times New Roman"/>
    </w:rPr>
  </w:style>
  <w:style w:type="character" w:styleId="ListLabel185">
    <w:name w:val="ListLabel 185"/>
    <w:qFormat/>
    <w:rPr/>
  </w:style>
  <w:style w:type="paragraph" w:styleId="Heading" w:customStyle="1">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rPr>
  </w:style>
  <w:style w:type="paragraph" w:styleId="BodyTextIndent2">
    <w:name w:val="Body Text Indent 2"/>
    <w:basedOn w:val="Normal"/>
    <w:link w:val="BodyTextIndent2Char"/>
    <w:qFormat/>
    <w:rsid w:val="00b27d31"/>
    <w:pPr>
      <w:widowControl w:val="false"/>
      <w:tabs>
        <w:tab w:val="left" w:pos="2205" w:leader="none"/>
      </w:tabs>
      <w:spacing w:lineRule="auto" w:line="259"/>
      <w:ind w:left="200" w:hanging="0"/>
      <w:jc w:val="both"/>
      <w:textAlignment w:val="baseline"/>
    </w:pPr>
    <w:rPr>
      <w:rFonts w:ascii="Calibri" w:hAnsi="Calibri" w:eastAsia="" w:cs="" w:asciiTheme="minorHAnsi" w:cstheme="minorBidi" w:eastAsiaTheme="minorEastAsia" w:hAnsiTheme="minorHAnsi"/>
      <w:kern w:val="2"/>
      <w:sz w:val="22"/>
      <w:szCs w:val="22"/>
      <w:lang w:val="en-US" w:eastAsia="ja-JP"/>
    </w:rPr>
  </w:style>
  <w:style w:type="paragraph" w:styleId="ListParagraph">
    <w:name w:val="List Paragraph"/>
    <w:basedOn w:val="Normal"/>
    <w:link w:val="ListParagraphChar"/>
    <w:uiPriority w:val="34"/>
    <w:qFormat/>
    <w:rsid w:val="00d0408c"/>
    <w:pPr>
      <w:ind w:firstLine="420"/>
    </w:pPr>
    <w:rPr>
      <w:rFonts w:ascii="SimSun" w:hAnsi="SimSun" w:eastAsia="SimSun" w:cs="SimSun"/>
      <w:sz w:val="24"/>
      <w:lang w:val="en-US" w:eastAsia="zh-CN"/>
    </w:rPr>
  </w:style>
  <w:style w:type="paragraph" w:styleId="Annotationtext">
    <w:name w:val="annotation text"/>
    <w:basedOn w:val="Normal"/>
    <w:link w:val="CommentTextChar"/>
    <w:uiPriority w:val="99"/>
    <w:semiHidden/>
    <w:unhideWhenUsed/>
    <w:qFormat/>
    <w:rsid w:val="009b4c55"/>
    <w:pPr/>
    <w:rPr>
      <w:szCs w:val="20"/>
    </w:rPr>
  </w:style>
  <w:style w:type="paragraph" w:styleId="Annotationsubject">
    <w:name w:val="annotation subject"/>
    <w:basedOn w:val="Annotationtext"/>
    <w:link w:val="CommentSubjectChar"/>
    <w:uiPriority w:val="99"/>
    <w:semiHidden/>
    <w:unhideWhenUsed/>
    <w:qFormat/>
    <w:rsid w:val="009b4c55"/>
    <w:pPr/>
    <w:rPr>
      <w:b/>
      <w:bCs/>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qFormat/>
    <w:rsid w:val="00871826"/>
    <w:pPr>
      <w:spacing w:after="160" w:line="256" w:lineRule="auto"/>
    </w:pPr>
    <w:rPr>
      <w:rFonts w:eastAsiaTheme="minorEastAsia"/>
      <w:lang w:val="de-DE" w:eastAsia="zh-CN"/>
      <w:sz w:val="22"/>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png"/><Relationship Id="rId4" Type="http://schemas.openxmlformats.org/officeDocument/2006/relationships/hyperlink" Target="http://www.3gpp.org/ftp/tsg_ran/TSG_RAN/TSGR_81/Docs/RP-182155.zip"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5D9BB-BC03-4410-8044-0A370F224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Application>LibreOffice/6.0.3.2$Linux_X86_64 LibreOffice_project/00m0$Build-2</Application>
  <Pages>5</Pages>
  <Words>1481</Words>
  <Characters>7994</Characters>
  <CharactersWithSpaces>9391</CharactersWithSpaces>
  <Paragraphs>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2021-04-04T07:29:00Z</dcterms:created>
  <dc:creator>Abhijeet Masal</dc:creator>
  <dc:description/>
  <dc:language>en-IN</dc:language>
  <cp:lastModifiedBy/>
  <dcterms:modified xsi:type="dcterms:W3CDTF">2021-10-01T23:37:25Z</dcterms:modified>
  <cp:revision>83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